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附件1</w:t>
      </w:r>
    </w:p>
    <w:p>
      <w:pPr>
        <w:jc w:val="left"/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1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36"/>
          <w:szCs w:val="36"/>
        </w:rPr>
        <w:t>广西壮族自治区</w:t>
      </w:r>
      <w:r>
        <w:rPr>
          <w:rFonts w:hint="eastAsia" w:ascii="方正小标宋_GBK" w:hAnsi="方正小标宋_GBK" w:eastAsia="方正小标宋_GBK" w:cs="方正小标宋_GBK"/>
          <w:spacing w:val="1"/>
          <w:sz w:val="36"/>
          <w:szCs w:val="36"/>
          <w:lang w:val="en-US" w:eastAsia="zh-CN"/>
        </w:rPr>
        <w:t>人大常委会办公厅新闻信息中心</w:t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3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36"/>
          <w:szCs w:val="36"/>
        </w:rPr>
        <w:t>资金存放备选</w:t>
      </w:r>
      <w:r>
        <w:rPr>
          <w:rFonts w:hint="eastAsia" w:ascii="方正小标宋_GBK" w:hAnsi="方正小标宋_GBK" w:eastAsia="方正小标宋_GBK" w:cs="方正小标宋_GBK"/>
          <w:spacing w:val="3"/>
          <w:sz w:val="36"/>
          <w:szCs w:val="36"/>
        </w:rPr>
        <w:t>银行综合评分表</w:t>
      </w:r>
    </w:p>
    <w:p>
      <w:pPr>
        <w:spacing w:before="124" w:line="228" w:lineRule="auto"/>
        <w:ind w:left="28"/>
        <w:rPr>
          <w:rFonts w:ascii="宋体" w:hAnsi="宋体" w:eastAsia="宋体" w:cs="宋体"/>
          <w:spacing w:val="3"/>
          <w:sz w:val="19"/>
          <w:szCs w:val="19"/>
        </w:rPr>
      </w:pPr>
    </w:p>
    <w:p>
      <w:pPr>
        <w:spacing w:before="124" w:line="228" w:lineRule="auto"/>
        <w:ind w:left="28"/>
        <w:rPr>
          <w:rFonts w:hint="eastAsia" w:ascii="仿宋_GB2312" w:hAnsi="仿宋_GB2312" w:eastAsia="仿宋_GB2312" w:cs="仿宋_GB2312"/>
          <w:spacing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3"/>
          <w:sz w:val="21"/>
          <w:szCs w:val="21"/>
        </w:rPr>
        <w:t>被考评银行：</w:t>
      </w:r>
      <w:r>
        <w:rPr>
          <w:rFonts w:hint="eastAsia" w:ascii="仿宋_GB2312" w:hAnsi="仿宋_GB2312" w:eastAsia="仿宋_GB2312" w:cs="仿宋_GB2312"/>
          <w:spacing w:val="3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pacing w:val="3"/>
          <w:sz w:val="21"/>
          <w:szCs w:val="21"/>
        </w:rPr>
        <w:t>填表时间：</w:t>
      </w:r>
      <w:r>
        <w:rPr>
          <w:rFonts w:hint="eastAsia" w:ascii="仿宋_GB2312" w:hAnsi="仿宋_GB2312" w:eastAsia="仿宋_GB2312" w:cs="仿宋_GB2312"/>
          <w:spacing w:val="3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3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spacing w:val="3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3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pacing w:val="3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2"/>
          <w:sz w:val="21"/>
          <w:szCs w:val="21"/>
        </w:rPr>
        <w:t>日</w:t>
      </w:r>
    </w:p>
    <w:tbl>
      <w:tblPr>
        <w:tblStyle w:val="5"/>
        <w:tblpPr w:leftFromText="180" w:rightFromText="180" w:vertAnchor="text" w:horzAnchor="page" w:tblpXSpec="center" w:tblpY="258"/>
        <w:tblOverlap w:val="never"/>
        <w:tblW w:w="95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151"/>
        <w:gridCol w:w="915"/>
        <w:gridCol w:w="3931"/>
        <w:gridCol w:w="979"/>
        <w:gridCol w:w="14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0" w:type="dxa"/>
            <w:gridSpan w:val="3"/>
            <w:vAlign w:val="top"/>
          </w:tcPr>
          <w:p>
            <w:pPr>
              <w:spacing w:before="117" w:line="224" w:lineRule="auto"/>
              <w:ind w:left="11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6"/>
                <w:sz w:val="20"/>
                <w:szCs w:val="20"/>
              </w:rPr>
              <w:t>评分内容</w:t>
            </w:r>
          </w:p>
        </w:tc>
        <w:tc>
          <w:tcPr>
            <w:tcW w:w="3931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left="158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6"/>
                <w:sz w:val="20"/>
                <w:szCs w:val="20"/>
              </w:rPr>
              <w:t>评分标准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2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0"/>
                <w:szCs w:val="20"/>
              </w:rPr>
              <w:t>得分</w:t>
            </w:r>
          </w:p>
        </w:tc>
        <w:tc>
          <w:tcPr>
            <w:tcW w:w="1461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47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84" w:type="dxa"/>
            <w:vAlign w:val="top"/>
          </w:tcPr>
          <w:p>
            <w:pPr>
              <w:spacing w:before="171" w:line="224" w:lineRule="auto"/>
              <w:ind w:left="1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3"/>
                <w:sz w:val="20"/>
                <w:szCs w:val="20"/>
              </w:rPr>
              <w:t>一级指标</w:t>
            </w:r>
          </w:p>
        </w:tc>
        <w:tc>
          <w:tcPr>
            <w:tcW w:w="1151" w:type="dxa"/>
            <w:vAlign w:val="top"/>
          </w:tcPr>
          <w:p>
            <w:pPr>
              <w:spacing w:before="171" w:line="224" w:lineRule="auto"/>
              <w:ind w:left="20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3"/>
                <w:sz w:val="20"/>
                <w:szCs w:val="20"/>
              </w:rPr>
              <w:t>二级指标</w:t>
            </w:r>
          </w:p>
        </w:tc>
        <w:tc>
          <w:tcPr>
            <w:tcW w:w="915" w:type="dxa"/>
            <w:vAlign w:val="top"/>
          </w:tcPr>
          <w:p>
            <w:pPr>
              <w:spacing w:before="170" w:line="223" w:lineRule="auto"/>
              <w:ind w:left="1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3"/>
                <w:sz w:val="20"/>
                <w:szCs w:val="20"/>
              </w:rPr>
              <w:t>分值</w:t>
            </w:r>
          </w:p>
        </w:tc>
        <w:tc>
          <w:tcPr>
            <w:tcW w:w="39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51"/>
            </w:pPr>
            <w:r>
              <w:rPr>
                <w:spacing w:val="7"/>
              </w:rPr>
              <w:t>一、经营</w:t>
            </w:r>
          </w:p>
          <w:p>
            <w:pPr>
              <w:pStyle w:val="6"/>
              <w:spacing w:before="4" w:line="231" w:lineRule="auto"/>
              <w:ind w:left="349" w:right="140" w:hanging="201"/>
            </w:pPr>
            <w:r>
              <w:rPr>
                <w:spacing w:val="6"/>
              </w:rPr>
              <w:t>状况（30</w:t>
            </w:r>
            <w:r>
              <w:rPr>
                <w:spacing w:val="-1"/>
              </w:rPr>
              <w:t>分）</w:t>
            </w:r>
          </w:p>
        </w:tc>
        <w:tc>
          <w:tcPr>
            <w:tcW w:w="115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119"/>
            </w:pPr>
            <w:r>
              <w:rPr>
                <w:spacing w:val="6"/>
              </w:rPr>
              <w:t>资本充足率</w:t>
            </w:r>
          </w:p>
        </w:tc>
        <w:tc>
          <w:tcPr>
            <w:tcW w:w="915" w:type="dxa"/>
            <w:vAlign w:val="center"/>
          </w:tcPr>
          <w:p>
            <w:pPr>
              <w:spacing w:line="37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4" w:lineRule="auto"/>
              <w:ind w:right="20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102" w:line="304" w:lineRule="auto"/>
              <w:ind w:left="112" w:right="105" w:firstLine="9"/>
              <w:jc w:val="both"/>
            </w:pPr>
            <w:r>
              <w:rPr>
                <w:spacing w:val="8"/>
              </w:rPr>
              <w:t>资本充足率达到监管标准，即可获得基础分</w:t>
            </w:r>
            <w:r>
              <w:rPr>
                <w:spacing w:val="6"/>
              </w:rPr>
              <w:t>4分；其余1分，按照资本充足率进行递减排名，第一名得1分，从第二名开始依次递</w:t>
            </w:r>
            <w:r>
              <w:rPr>
                <w:spacing w:val="7"/>
              </w:rPr>
              <w:t>减0.1分，如数值相同，按同档计分。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spacing w:before="272" w:line="320" w:lineRule="auto"/>
              <w:ind w:left="116" w:right="252"/>
              <w:jc w:val="left"/>
            </w:pPr>
            <w:r>
              <w:rPr>
                <w:spacing w:val="7"/>
              </w:rPr>
              <w:t>参选银行总行上一年度年末数据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8" w:lineRule="auto"/>
              <w:ind w:left="113"/>
            </w:pPr>
            <w:r>
              <w:rPr>
                <w:spacing w:val="7"/>
              </w:rPr>
              <w:t>不良贷款率</w:t>
            </w:r>
          </w:p>
        </w:tc>
        <w:tc>
          <w:tcPr>
            <w:tcW w:w="915" w:type="dxa"/>
            <w:vAlign w:val="center"/>
          </w:tcPr>
          <w:p>
            <w:pPr>
              <w:spacing w:line="38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4" w:lineRule="auto"/>
              <w:ind w:right="20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102" w:line="304" w:lineRule="auto"/>
              <w:ind w:left="112" w:right="105" w:firstLine="3"/>
              <w:jc w:val="both"/>
            </w:pPr>
            <w:r>
              <w:rPr>
                <w:spacing w:val="8"/>
              </w:rPr>
              <w:t>不良贷款率达到监管标准，即可获得基础分</w:t>
            </w:r>
            <w:r>
              <w:rPr>
                <w:spacing w:val="6"/>
              </w:rPr>
              <w:t>4分；其余1分，按照不良贷款率进行递增排名，第一名得1分，从第二名开始依次递</w:t>
            </w:r>
            <w:r>
              <w:rPr>
                <w:spacing w:val="7"/>
              </w:rPr>
              <w:t>减0.1分，如数值相同，按同档计分。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spacing w:before="274" w:line="320" w:lineRule="auto"/>
              <w:ind w:left="116" w:right="252"/>
              <w:jc w:val="left"/>
            </w:pPr>
            <w:r>
              <w:rPr>
                <w:spacing w:val="7"/>
              </w:rPr>
              <w:t>参选银行总行上一年度年末数据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12"/>
            </w:pPr>
            <w:r>
              <w:rPr>
                <w:spacing w:val="7"/>
              </w:rPr>
              <w:t>拨备覆盖率</w:t>
            </w:r>
          </w:p>
        </w:tc>
        <w:tc>
          <w:tcPr>
            <w:tcW w:w="915" w:type="dxa"/>
            <w:vAlign w:val="center"/>
          </w:tcPr>
          <w:p>
            <w:pPr>
              <w:spacing w:line="37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20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106" w:line="303" w:lineRule="auto"/>
              <w:ind w:left="112" w:right="105" w:firstLine="2"/>
              <w:jc w:val="both"/>
            </w:pPr>
            <w:r>
              <w:rPr>
                <w:spacing w:val="8"/>
              </w:rPr>
              <w:t>拨备覆盖率达到监管标准，即可获得基础分</w:t>
            </w:r>
            <w:r>
              <w:rPr>
                <w:spacing w:val="6"/>
              </w:rPr>
              <w:t>4分；其余1分，按照拨备覆盖率进行递减排名，第一名得1分，从第二名开始依次递</w:t>
            </w:r>
            <w:r>
              <w:rPr>
                <w:spacing w:val="7"/>
              </w:rPr>
              <w:t>减0.1分，如数值相同，按同档计分。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spacing w:before="275" w:line="320" w:lineRule="auto"/>
              <w:ind w:left="116" w:right="252"/>
              <w:jc w:val="left"/>
            </w:pPr>
            <w:r>
              <w:rPr>
                <w:spacing w:val="7"/>
              </w:rPr>
              <w:t>参选银行总行上一年度年末数据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316" w:lineRule="auto"/>
              <w:ind w:left="111" w:right="113"/>
            </w:pPr>
            <w:r>
              <w:rPr>
                <w:spacing w:val="7"/>
              </w:rPr>
              <w:t>流动性覆盖</w:t>
            </w:r>
            <w:r>
              <w:t>率</w:t>
            </w:r>
          </w:p>
        </w:tc>
        <w:tc>
          <w:tcPr>
            <w:tcW w:w="915" w:type="dxa"/>
            <w:vAlign w:val="center"/>
          </w:tcPr>
          <w:p>
            <w:pPr>
              <w:spacing w:line="37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20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106" w:line="303" w:lineRule="auto"/>
              <w:ind w:left="113" w:right="105"/>
              <w:jc w:val="both"/>
            </w:pPr>
            <w:r>
              <w:rPr>
                <w:spacing w:val="8"/>
              </w:rPr>
              <w:t>流动性覆盖率达到监管标准，即可获得基础</w:t>
            </w:r>
            <w:r>
              <w:rPr>
                <w:spacing w:val="5"/>
              </w:rPr>
              <w:t>分4分；其余1分，按照流动性覆盖率进行</w:t>
            </w:r>
            <w:r>
              <w:rPr>
                <w:spacing w:val="6"/>
              </w:rPr>
              <w:t>递减排名，第一名得1分，从第二名开始依次递减0.1分，如数值相同，按同档计分。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spacing w:before="275" w:line="321" w:lineRule="auto"/>
              <w:ind w:left="116" w:right="252"/>
              <w:jc w:val="left"/>
            </w:pPr>
            <w:r>
              <w:rPr>
                <w:spacing w:val="7"/>
              </w:rPr>
              <w:t>参选银行总行上一年度年末数据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11"/>
            </w:pPr>
            <w:r>
              <w:rPr>
                <w:spacing w:val="7"/>
              </w:rPr>
              <w:t>流动性比例</w:t>
            </w:r>
          </w:p>
        </w:tc>
        <w:tc>
          <w:tcPr>
            <w:tcW w:w="915" w:type="dxa"/>
            <w:vAlign w:val="center"/>
          </w:tcPr>
          <w:p>
            <w:pPr>
              <w:spacing w:line="38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20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106" w:line="303" w:lineRule="auto"/>
              <w:ind w:left="112" w:right="105" w:firstLine="1"/>
              <w:jc w:val="both"/>
            </w:pPr>
            <w:r>
              <w:rPr>
                <w:spacing w:val="8"/>
              </w:rPr>
              <w:t>流动性比例达到监管标准，即可获得基础分</w:t>
            </w:r>
            <w:r>
              <w:rPr>
                <w:spacing w:val="6"/>
              </w:rPr>
              <w:t>4分；其余1分，按照流动性比例进行递减排名，第一名得1分，从第二名开始依次递</w:t>
            </w:r>
            <w:r>
              <w:rPr>
                <w:spacing w:val="7"/>
              </w:rPr>
              <w:t>减0.1分，如数值相同，按同档计分。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spacing w:before="276" w:line="321" w:lineRule="auto"/>
              <w:ind w:left="116" w:right="252"/>
              <w:jc w:val="left"/>
            </w:pPr>
            <w:r>
              <w:rPr>
                <w:spacing w:val="7"/>
              </w:rPr>
              <w:t>参选银行总行上一年度年末数据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8" w:lineRule="auto"/>
              <w:ind w:left="134"/>
            </w:pPr>
            <w:r>
              <w:rPr>
                <w:spacing w:val="1"/>
              </w:rPr>
              <w:t>内部控制</w:t>
            </w:r>
          </w:p>
        </w:tc>
        <w:tc>
          <w:tcPr>
            <w:tcW w:w="915" w:type="dxa"/>
            <w:vAlign w:val="center"/>
          </w:tcPr>
          <w:p>
            <w:pPr>
              <w:pStyle w:val="6"/>
              <w:spacing w:before="276" w:line="317" w:lineRule="auto"/>
              <w:ind w:right="20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107" w:line="294" w:lineRule="auto"/>
              <w:ind w:left="113" w:right="105" w:hanging="1"/>
            </w:pPr>
            <w:r>
              <w:rPr>
                <w:spacing w:val="8"/>
              </w:rPr>
              <w:t>机构人员配置合理，内控制度健全，能掌握</w:t>
            </w:r>
            <w:r>
              <w:rPr>
                <w:spacing w:val="7"/>
              </w:rPr>
              <w:t>和运用相关政策制度的，可获基础分4分，</w:t>
            </w:r>
            <w:r>
              <w:rPr>
                <w:spacing w:val="-2"/>
              </w:rPr>
              <w:t>其余1分。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1084" w:type="dxa"/>
            <w:vMerge w:val="restart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  <w:rPr>
                <w:spacing w:val="7"/>
              </w:rPr>
            </w:pPr>
          </w:p>
          <w:p>
            <w:pPr>
              <w:pStyle w:val="6"/>
              <w:spacing w:before="62" w:line="228" w:lineRule="auto"/>
              <w:ind w:left="151"/>
            </w:pPr>
            <w:r>
              <w:rPr>
                <w:spacing w:val="7"/>
              </w:rPr>
              <w:t>二、服务</w:t>
            </w:r>
          </w:p>
          <w:p>
            <w:pPr>
              <w:pStyle w:val="6"/>
              <w:spacing w:before="5" w:line="231" w:lineRule="auto"/>
              <w:ind w:left="349" w:right="140" w:hanging="199"/>
              <w:rPr>
                <w:spacing w:val="5"/>
              </w:rPr>
            </w:pPr>
            <w:r>
              <w:rPr>
                <w:spacing w:val="5"/>
              </w:rPr>
              <w:t>水平（40</w:t>
            </w:r>
            <w:r>
              <w:rPr>
                <w:spacing w:val="-1"/>
              </w:rPr>
              <w:t>分）</w:t>
            </w:r>
          </w:p>
          <w:p>
            <w:pPr>
              <w:pStyle w:val="6"/>
              <w:spacing w:before="5" w:line="231" w:lineRule="auto"/>
              <w:ind w:left="349" w:right="140" w:hanging="199"/>
              <w:rPr>
                <w:spacing w:val="5"/>
              </w:rPr>
            </w:pPr>
          </w:p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5" w:lineRule="auto"/>
              <w:ind w:left="113" w:right="113" w:hanging="3"/>
            </w:pPr>
            <w:r>
              <w:rPr>
                <w:spacing w:val="8"/>
              </w:rPr>
              <w:t>信息系统建</w:t>
            </w:r>
            <w:r>
              <w:t>设</w:t>
            </w:r>
          </w:p>
        </w:tc>
        <w:tc>
          <w:tcPr>
            <w:tcW w:w="915" w:type="dxa"/>
            <w:vAlign w:val="center"/>
          </w:tcPr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4" w:lineRule="auto"/>
              <w:ind w:right="188"/>
              <w:jc w:val="center"/>
            </w:pPr>
            <w:r>
              <w:t>（10</w:t>
            </w:r>
            <w:r>
              <w:rPr>
                <w:spacing w:val="-1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107" w:line="315" w:lineRule="auto"/>
              <w:ind w:left="113" w:right="105" w:firstLine="14"/>
              <w:jc w:val="both"/>
            </w:pPr>
            <w:r>
              <w:rPr>
                <w:spacing w:val="7"/>
              </w:rPr>
              <w:t>网络连接可靠，系统服务运行高效稳定，业</w:t>
            </w:r>
            <w:r>
              <w:rPr>
                <w:spacing w:val="8"/>
              </w:rPr>
              <w:t>务响应及时，对系统故障能及时处理，能及时发现及改进系统潜在隐患，确保账户及资</w:t>
            </w:r>
            <w:r>
              <w:rPr>
                <w:spacing w:val="5"/>
              </w:rPr>
              <w:t>金安全，可获得基础分8分，其余2分，按</w:t>
            </w:r>
            <w:r>
              <w:rPr>
                <w:spacing w:val="8"/>
              </w:rPr>
              <w:t>照信息系统建设情况进行递减排名，第一名</w:t>
            </w:r>
            <w:r>
              <w:rPr>
                <w:spacing w:val="5"/>
              </w:rPr>
              <w:t>得2分，从第二名开始依次递减0.1分，如</w:t>
            </w:r>
            <w:r>
              <w:rPr>
                <w:spacing w:val="8"/>
              </w:rPr>
              <w:t>数值相同，按同档计分。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  <w:jc w:val="center"/>
        </w:trPr>
        <w:tc>
          <w:tcPr>
            <w:tcW w:w="1084" w:type="dxa"/>
            <w:vMerge w:val="continue"/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6" w:lineRule="auto"/>
              <w:ind w:left="109" w:leftChars="0" w:right="113" w:rightChars="0" w:firstLine="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6"/>
              </w:rPr>
              <w:t>资金支付及</w:t>
            </w:r>
            <w:r>
              <w:rPr>
                <w:spacing w:val="8"/>
              </w:rPr>
              <w:t>对账服务</w:t>
            </w:r>
          </w:p>
        </w:tc>
        <w:tc>
          <w:tcPr>
            <w:tcW w:w="915" w:type="dxa"/>
            <w:vAlign w:val="center"/>
          </w:tcPr>
          <w:p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188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t>（10</w:t>
            </w:r>
            <w:r>
              <w:rPr>
                <w:spacing w:val="-1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61" w:line="313" w:lineRule="auto"/>
              <w:ind w:left="112" w:leftChars="0" w:right="105" w:rightChars="0" w:firstLine="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能按规定及时、准确的办理资金支付业务，业务流程简洁、规范，能按照加急业务办理程序办理特别紧急支出事项的，可获基础分</w:t>
            </w:r>
            <w:r>
              <w:rPr>
                <w:spacing w:val="6"/>
              </w:rPr>
              <w:t>4分，其余1分；能够在规定时间与单位进</w:t>
            </w:r>
            <w:r>
              <w:rPr>
                <w:spacing w:val="8"/>
              </w:rPr>
              <w:t>行对账，并提供格式规范的对账单的，可获</w:t>
            </w:r>
            <w:r>
              <w:rPr>
                <w:spacing w:val="2"/>
              </w:rPr>
              <w:t>基础分4分，其余1分。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084" w:type="dxa"/>
            <w:vMerge w:val="continue"/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4" w:lineRule="auto"/>
              <w:ind w:left="112" w:leftChars="0" w:right="11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分账核算服</w:t>
            </w:r>
            <w:r>
              <w:t>务</w:t>
            </w:r>
          </w:p>
        </w:tc>
        <w:tc>
          <w:tcPr>
            <w:tcW w:w="915" w:type="dxa"/>
            <w:vAlign w:val="center"/>
          </w:tcPr>
          <w:p>
            <w:pPr>
              <w:spacing w:line="31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314" w:lineRule="auto"/>
              <w:ind w:right="20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4" w:lineRule="auto"/>
              <w:ind w:left="113" w:leftChars="0" w:right="105" w:rightChars="0" w:firstLine="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能提供分账核算服务，子账户管理规范，操</w:t>
            </w:r>
            <w:r>
              <w:rPr>
                <w:spacing w:val="5"/>
              </w:rPr>
              <w:t>作便捷的，可获基础分4分，其余1分。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084" w:type="dxa"/>
            <w:vMerge w:val="continue"/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6" w:lineRule="auto"/>
              <w:ind w:left="112" w:leftChars="0" w:right="113" w:rightChars="0" w:firstLine="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3"/>
              </w:rPr>
              <w:t>以往提供服</w:t>
            </w:r>
            <w:r>
              <w:rPr>
                <w:spacing w:val="7"/>
              </w:rPr>
              <w:t>务履约情况</w:t>
            </w:r>
          </w:p>
        </w:tc>
        <w:tc>
          <w:tcPr>
            <w:tcW w:w="915" w:type="dxa"/>
            <w:vAlign w:val="center"/>
          </w:tcPr>
          <w:p>
            <w:pPr>
              <w:spacing w:line="37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188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t>（10</w:t>
            </w:r>
            <w:r>
              <w:rPr>
                <w:spacing w:val="-1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102" w:line="304" w:lineRule="auto"/>
              <w:ind w:left="112" w:leftChars="0" w:right="105" w:rightChars="0" w:firstLine="2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依法开展经营活动，近3年内在经营活动中</w:t>
            </w:r>
            <w:r>
              <w:rPr>
                <w:spacing w:val="8"/>
              </w:rPr>
              <w:t>无重大违法违规记录，信誉良好，及时计付存款人利息，资金支付无压单等情况，可获</w:t>
            </w:r>
            <w:r>
              <w:rPr>
                <w:spacing w:val="3"/>
              </w:rPr>
              <w:t>基础分8分，其余2分。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4" w:type="dxa"/>
            <w:vMerge w:val="continue"/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vAlign w:val="top"/>
          </w:tcPr>
          <w:p>
            <w:pPr>
              <w:pStyle w:val="6"/>
              <w:spacing w:before="62" w:line="316" w:lineRule="auto"/>
              <w:ind w:right="11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创新或特色</w:t>
            </w:r>
            <w:r>
              <w:rPr>
                <w:spacing w:val="5"/>
              </w:rPr>
              <w:t>服务</w:t>
            </w:r>
          </w:p>
        </w:tc>
        <w:tc>
          <w:tcPr>
            <w:tcW w:w="915" w:type="dxa"/>
            <w:vAlign w:val="center"/>
          </w:tcPr>
          <w:p>
            <w:pPr>
              <w:spacing w:line="31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20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vAlign w:val="top"/>
          </w:tcPr>
          <w:p>
            <w:pPr>
              <w:pStyle w:val="6"/>
              <w:spacing w:before="62" w:line="316" w:lineRule="auto"/>
              <w:ind w:right="287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9"/>
              </w:rPr>
              <w:t>能制定符合单位具体业务需要的创新或特</w:t>
            </w:r>
            <w:r>
              <w:rPr>
                <w:spacing w:val="4"/>
              </w:rPr>
              <w:t>色服务的，每项1分，最高5分。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1084" w:type="dxa"/>
            <w:tcBorders>
              <w:bottom w:val="single" w:color="auto" w:sz="4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48"/>
            </w:pPr>
            <w:r>
              <w:rPr>
                <w:spacing w:val="7"/>
              </w:rPr>
              <w:t>三、利率</w:t>
            </w:r>
          </w:p>
          <w:p>
            <w:pPr>
              <w:pStyle w:val="6"/>
              <w:spacing w:before="5" w:line="231" w:lineRule="auto"/>
              <w:ind w:left="349" w:leftChars="0" w:right="140" w:rightChars="0" w:hanging="1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5"/>
              </w:rPr>
              <w:t>水平（</w:t>
            </w:r>
            <w:r>
              <w:rPr>
                <w:rFonts w:hint="eastAsia"/>
                <w:spacing w:val="5"/>
                <w:lang w:val="en-US" w:eastAsia="zh-CN"/>
              </w:rPr>
              <w:t>15</w:t>
            </w:r>
            <w:r>
              <w:rPr>
                <w:spacing w:val="-1"/>
              </w:rPr>
              <w:t>分）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存款利率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188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t>（1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spacing w:val="-1"/>
              </w:rPr>
              <w:t>分）</w:t>
            </w:r>
          </w:p>
        </w:tc>
        <w:tc>
          <w:tcPr>
            <w:tcW w:w="3931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before="103" w:line="228" w:lineRule="auto"/>
              <w:ind w:left="112"/>
            </w:pPr>
            <w:r>
              <w:rPr>
                <w:spacing w:val="9"/>
              </w:rPr>
              <w:t>遵守国家利率政策规定及广西市场利率定</w:t>
            </w:r>
          </w:p>
          <w:p>
            <w:pPr>
              <w:pStyle w:val="6"/>
              <w:spacing w:before="106" w:line="315" w:lineRule="auto"/>
              <w:ind w:left="113" w:leftChars="0" w:right="58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价自律机制的协商议定范围，结合成本和风险等因素合理确定存款利率水平，按照利率</w:t>
            </w:r>
            <w:r>
              <w:rPr>
                <w:spacing w:val="9"/>
              </w:rPr>
              <w:t>偏离度打分，超出协商议定范围的为0分。</w:t>
            </w:r>
            <w:r>
              <w:rPr>
                <w:spacing w:val="11"/>
              </w:rPr>
              <w:t>利率为同期基准利率得4分，利率上浮0~</w:t>
            </w:r>
            <w:r>
              <w:rPr>
                <w:spacing w:val="-2"/>
              </w:rPr>
              <w:t>10%得4～</w:t>
            </w:r>
            <w:r>
              <w:rPr>
                <w:rFonts w:hint="eastAsia"/>
                <w:spacing w:val="-2"/>
                <w:lang w:val="en-US" w:eastAsia="zh-CN"/>
              </w:rPr>
              <w:t>7</w:t>
            </w:r>
            <w:r>
              <w:rPr>
                <w:spacing w:val="-2"/>
              </w:rPr>
              <w:t>分；利率上浮10～20%得</w:t>
            </w:r>
            <w:r>
              <w:rPr>
                <w:rFonts w:hint="eastAsia"/>
                <w:spacing w:val="-2"/>
                <w:lang w:val="en-US" w:eastAsia="zh-CN"/>
              </w:rPr>
              <w:t>7</w:t>
            </w:r>
            <w:r>
              <w:rPr>
                <w:spacing w:val="-2"/>
              </w:rPr>
              <w:t>～</w:t>
            </w:r>
            <w:r>
              <w:rPr>
                <w:rFonts w:hint="eastAsia"/>
                <w:spacing w:val="-2"/>
                <w:lang w:val="en-US" w:eastAsia="zh-CN"/>
              </w:rPr>
              <w:t>9</w:t>
            </w:r>
            <w:r>
              <w:rPr>
                <w:spacing w:val="-2"/>
              </w:rPr>
              <w:t>分；</w:t>
            </w:r>
            <w:r>
              <w:rPr>
                <w:spacing w:val="6"/>
              </w:rPr>
              <w:t>利率上浮20～30%得</w:t>
            </w:r>
            <w:r>
              <w:rPr>
                <w:rFonts w:hint="eastAsia"/>
                <w:spacing w:val="6"/>
                <w:lang w:val="en-US" w:eastAsia="zh-CN"/>
              </w:rPr>
              <w:t>10</w:t>
            </w:r>
            <w:r>
              <w:rPr>
                <w:spacing w:val="6"/>
              </w:rPr>
              <w:t>～</w:t>
            </w:r>
            <w:r>
              <w:rPr>
                <w:rFonts w:hint="eastAsia"/>
                <w:spacing w:val="6"/>
                <w:lang w:val="en-US" w:eastAsia="zh-CN"/>
              </w:rPr>
              <w:t>11</w:t>
            </w:r>
            <w:r>
              <w:rPr>
                <w:spacing w:val="6"/>
              </w:rPr>
              <w:t>分；利率上浮超</w:t>
            </w:r>
            <w:r>
              <w:t>过30%得0分。</w:t>
            </w:r>
            <w:bookmarkStart w:id="0" w:name="_GoBack"/>
            <w:bookmarkEnd w:id="0"/>
          </w:p>
        </w:tc>
        <w:tc>
          <w:tcPr>
            <w:tcW w:w="979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3"/>
              </w:rPr>
            </w:pPr>
          </w:p>
          <w:p>
            <w:pPr>
              <w:pStyle w:val="6"/>
              <w:spacing w:before="5" w:line="231" w:lineRule="auto"/>
              <w:ind w:right="140"/>
              <w:rPr>
                <w:spacing w:val="3"/>
              </w:rPr>
            </w:pPr>
          </w:p>
          <w:p>
            <w:pPr>
              <w:pStyle w:val="6"/>
              <w:spacing w:before="5" w:line="231" w:lineRule="auto"/>
              <w:ind w:right="140"/>
              <w:rPr>
                <w:spacing w:val="3"/>
              </w:rPr>
            </w:pPr>
          </w:p>
          <w:p>
            <w:pPr>
              <w:pStyle w:val="6"/>
              <w:spacing w:before="5" w:line="231" w:lineRule="auto"/>
              <w:ind w:right="140"/>
              <w:rPr>
                <w:spacing w:val="3"/>
              </w:rPr>
            </w:pPr>
          </w:p>
          <w:p>
            <w:pPr>
              <w:pStyle w:val="6"/>
              <w:spacing w:before="5" w:line="231" w:lineRule="auto"/>
              <w:ind w:right="140"/>
              <w:rPr>
                <w:spacing w:val="3"/>
              </w:rPr>
            </w:pPr>
          </w:p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  <w:r>
              <w:rPr>
                <w:spacing w:val="3"/>
              </w:rPr>
              <w:t>四、经济</w:t>
            </w:r>
            <w:r>
              <w:rPr>
                <w:spacing w:val="16"/>
              </w:rPr>
              <w:t>发展贡献</w:t>
            </w:r>
            <w:r>
              <w:rPr>
                <w:spacing w:val="-12"/>
              </w:rPr>
              <w:t>度（15分）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贷款总量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20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6" w:lineRule="auto"/>
              <w:ind w:left="113" w:leftChars="0" w:right="139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贷款总量分＝2分×某行贷款余额÷各行贷款余额最大值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106" w:line="303" w:lineRule="auto"/>
              <w:ind w:left="116" w:leftChars="0" w:right="252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贷款增量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20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276" w:line="321" w:lineRule="auto"/>
              <w:ind w:left="113" w:leftChars="0" w:right="105" w:rightChars="0" w:hanging="3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贷款增量分＝2分×某行贷款增量÷各行贷款增量最大值（如贷款增量为负数，则此项</w:t>
            </w:r>
            <w:r>
              <w:rPr>
                <w:spacing w:val="6"/>
              </w:rPr>
              <w:t>分值为零）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106" w:line="303" w:lineRule="auto"/>
              <w:ind w:left="116" w:leftChars="0" w:right="252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8" w:lineRule="auto"/>
              <w:ind w:left="11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余额存贷比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62" w:line="317" w:lineRule="auto"/>
              <w:ind w:right="20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62" w:line="316" w:lineRule="auto"/>
              <w:ind w:left="115" w:leftChars="0" w:right="139" w:rightChars="0" w:hanging="2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余额存贷比分＝2分×某行余额存贷比÷各行余额存贷比最大值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105" w:line="304" w:lineRule="auto"/>
              <w:ind w:left="116" w:leftChars="0" w:right="252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left="111" w:leftChars="0" w:right="113" w:rightChars="0" w:firstLine="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4"/>
              </w:rPr>
              <w:t>中小企业贷</w:t>
            </w:r>
            <w:r>
              <w:t>款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7" w:lineRule="auto"/>
              <w:ind w:right="20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6" w:lineRule="auto"/>
              <w:ind w:left="113" w:leftChars="0" w:right="239" w:rightChars="0" w:firstLine="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中小企业贷款分=2分×某行中小企业贷款</w:t>
            </w:r>
            <w:r>
              <w:rPr>
                <w:spacing w:val="9"/>
              </w:rPr>
              <w:t>余额÷各行中小企业贷款余额最大值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105" w:line="323" w:lineRule="auto"/>
              <w:ind w:left="116" w:leftChars="0" w:right="252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61" w:line="228" w:lineRule="auto"/>
              <w:ind w:left="112" w:leftChars="0"/>
              <w:rPr>
                <w:spacing w:val="7"/>
              </w:rPr>
            </w:pPr>
          </w:p>
          <w:p>
            <w:pPr>
              <w:pStyle w:val="6"/>
              <w:spacing w:before="61" w:line="228" w:lineRule="auto"/>
              <w:ind w:left="112" w:leftChars="0"/>
              <w:rPr>
                <w:spacing w:val="7"/>
              </w:rPr>
            </w:pPr>
          </w:p>
          <w:p>
            <w:pPr>
              <w:pStyle w:val="6"/>
              <w:spacing w:before="61" w:line="228" w:lineRule="auto"/>
              <w:ind w:left="1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涉农贷款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317" w:lineRule="auto"/>
              <w:ind w:right="20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6" w:lineRule="auto"/>
              <w:ind w:left="115" w:leftChars="0" w:right="239" w:rightChars="0" w:hanging="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8"/>
              </w:rPr>
              <w:t>涉农贷款分=2分×某行涉农贷款余额÷各行涉农贷款余额最大值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62" w:line="304" w:lineRule="auto"/>
              <w:ind w:left="116" w:leftChars="0" w:right="252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5" w:line="231" w:lineRule="auto"/>
              <w:ind w:right="140"/>
              <w:rPr>
                <w:spacing w:val="5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20" w:lineRule="auto"/>
              <w:ind w:left="111" w:leftChars="0" w:right="113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7"/>
              </w:rPr>
              <w:t>支持地方经济发展重点</w:t>
            </w:r>
            <w:r>
              <w:rPr>
                <w:spacing w:val="4"/>
              </w:rPr>
              <w:t>工作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4" w:lineRule="auto"/>
              <w:ind w:right="20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101" w:line="313" w:lineRule="auto"/>
              <w:ind w:left="113" w:leftChars="0" w:right="22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10"/>
              </w:rPr>
              <w:t>支持地方经济发展重点工作得分</w:t>
            </w:r>
            <w:r>
              <w:rPr>
                <w:spacing w:val="1"/>
              </w:rPr>
              <w:t>：（</w:t>
            </w:r>
            <w:r>
              <w:rPr>
                <w:spacing w:val="10"/>
              </w:rPr>
              <w:t>1）本</w:t>
            </w:r>
            <w:r>
              <w:rPr>
                <w:spacing w:val="9"/>
              </w:rPr>
              <w:t>次操作前一次债券发行中购买地方债最大</w:t>
            </w:r>
            <w:r>
              <w:rPr>
                <w:spacing w:val="6"/>
              </w:rPr>
              <w:t>量的金融机构排第一位，得分为5分。（2）</w:t>
            </w:r>
            <w:r>
              <w:rPr>
                <w:spacing w:val="9"/>
              </w:rPr>
              <w:t>某行当次承销广西地方债得分=（该行当次承销金额/排名第一位的金融机构承销的地</w:t>
            </w:r>
            <w:r>
              <w:rPr>
                <w:spacing w:val="6"/>
              </w:rPr>
              <w:t>方债券金额）×5。结果保留两位小数。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MDlkZjU5YmRkYTJkZGQxODgzMGUxMTE5M2VkYWQifQ=="/>
  </w:docVars>
  <w:rsids>
    <w:rsidRoot w:val="216C509F"/>
    <w:rsid w:val="09834561"/>
    <w:rsid w:val="216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1641</Words>
  <Characters>1676</Characters>
  <Lines>0</Lines>
  <Paragraphs>0</Paragraphs>
  <TotalTime>17</TotalTime>
  <ScaleCrop>false</ScaleCrop>
  <LinksUpToDate>false</LinksUpToDate>
  <CharactersWithSpaces>1726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2024-06-13T02:01:00Z</dcterms:created>
  <dc:creator>文盲</dc:creator>
  <cp:lastModifiedBy>歡</cp:lastModifiedBy>
  <dcterms:modified xsi:type="dcterms:W3CDTF">2024-06-13T07:35:33Z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785146A07DA1458FB5D821FD02E214AB_11</vt:lpwstr>
  </property>
</Properties>
</file>