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Theme="majorEastAsia" w:hAnsiTheme="majorEastAsia" w:eastAsiaTheme="majorEastAsia" w:cstheme="majorEastAsia"/>
          <w:sz w:val="32"/>
          <w:szCs w:val="32"/>
        </w:rPr>
      </w:pPr>
    </w:p>
    <w:p>
      <w:pPr>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Theme="majorEastAsia" w:hAnsiTheme="majorEastAsia" w:eastAsiaTheme="majorEastAsia" w:cstheme="majorEastAsia"/>
          <w:sz w:val="32"/>
          <w:szCs w:val="32"/>
        </w:rPr>
      </w:pPr>
    </w:p>
    <w:p>
      <w:pPr>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sz w:val="44"/>
          <w:szCs w:val="44"/>
        </w:rPr>
        <w:t>广西壮族自治区农业机械化促进条例</w:t>
      </w:r>
    </w:p>
    <w:p>
      <w:pPr>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Theme="majorEastAsia" w:hAnsiTheme="majorEastAsia" w:eastAsiaTheme="majorEastAsia" w:cstheme="majorEastAsia"/>
          <w:sz w:val="32"/>
          <w:szCs w:val="32"/>
        </w:rPr>
      </w:pPr>
    </w:p>
    <w:p>
      <w:pPr>
        <w:keepNext w:val="0"/>
        <w:keepLines w:val="0"/>
        <w:pageBreakBefore w:val="0"/>
        <w:kinsoku/>
        <w:wordWrap/>
        <w:overflowPunct/>
        <w:topLinePunct w:val="0"/>
        <w:autoSpaceDE/>
        <w:autoSpaceDN/>
        <w:bidi w:val="0"/>
        <w:adjustRightInd/>
        <w:spacing w:line="578" w:lineRule="exact"/>
        <w:ind w:left="636" w:leftChars="303" w:right="756" w:rightChars="360" w:firstLine="2" w:firstLineChars="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（2017年3月29日广西壮族自治区第十二届人民代表大会常务委员会第二十八次会议通过）</w:t>
      </w:r>
    </w:p>
    <w:p>
      <w:pPr>
        <w:pStyle w:val="8"/>
        <w:keepNext w:val="0"/>
        <w:keepLines w:val="0"/>
        <w:pageBreakBefore w:val="0"/>
        <w:kinsoku/>
        <w:wordWrap/>
        <w:overflowPunct/>
        <w:topLinePunct w:val="0"/>
        <w:autoSpaceDE/>
        <w:autoSpaceDN/>
        <w:bidi w:val="0"/>
        <w:adjustRightInd/>
        <w:spacing w:line="578" w:lineRule="exact"/>
        <w:ind w:firstLine="643" w:firstLineChars="200"/>
        <w:jc w:val="center"/>
        <w:textAlignment w:val="auto"/>
        <w:outlineLvl w:val="9"/>
        <w:rPr>
          <w:rFonts w:hint="eastAsia" w:ascii="仿宋_GB2312" w:eastAsia="仿宋_GB2312"/>
          <w:b/>
          <w:bCs/>
          <w:sz w:val="32"/>
          <w:szCs w:val="32"/>
        </w:rPr>
      </w:pP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目    录</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xml:space="preserve">    第一章  总则</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xml:space="preserve">    第二章  推广使用</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xml:space="preserve">    第三章  社会化服务</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bdr w:val="single" w:color="auto" w:sz="4" w:space="0"/>
          <w:shd w:val="pct10" w:color="auto" w:fill="FFFFFF"/>
        </w:rPr>
      </w:pPr>
      <w:r>
        <w:rPr>
          <w:rFonts w:hint="eastAsia" w:ascii="楷体_GB2312" w:hAnsi="楷体_GB2312" w:eastAsia="楷体_GB2312" w:cs="楷体_GB2312"/>
          <w:b w:val="0"/>
          <w:bCs w:val="0"/>
          <w:sz w:val="32"/>
          <w:szCs w:val="32"/>
        </w:rPr>
        <w:t xml:space="preserve">    第四章  科研开发</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xml:space="preserve">    第五章  质量保障</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xml:space="preserve">    第六章  扶持措施</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u w:val="single"/>
        </w:rPr>
      </w:pPr>
      <w:r>
        <w:rPr>
          <w:rFonts w:hint="eastAsia" w:ascii="楷体_GB2312" w:hAnsi="楷体_GB2312" w:eastAsia="楷体_GB2312" w:cs="楷体_GB2312"/>
          <w:b w:val="0"/>
          <w:bCs w:val="0"/>
          <w:sz w:val="32"/>
          <w:szCs w:val="32"/>
        </w:rPr>
        <w:t xml:space="preserve">    第七章  法律责任</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 xml:space="preserve">    第八章  附则</w:t>
      </w:r>
    </w:p>
    <w:p>
      <w:pPr>
        <w:pStyle w:val="8"/>
        <w:keepNext w:val="0"/>
        <w:keepLines w:val="0"/>
        <w:pageBreakBefore w:val="0"/>
        <w:kinsoku/>
        <w:wordWrap/>
        <w:overflowPunct/>
        <w:topLinePunct w:val="0"/>
        <w:autoSpaceDE/>
        <w:autoSpaceDN/>
        <w:bidi w:val="0"/>
        <w:adjustRightInd/>
        <w:spacing w:line="578" w:lineRule="exact"/>
        <w:ind w:firstLine="2891" w:firstLineChars="900"/>
        <w:textAlignment w:val="auto"/>
        <w:outlineLvl w:val="9"/>
        <w:rPr>
          <w:rFonts w:hint="eastAsia" w:ascii="仿宋_GB2312" w:hAnsi="仿宋" w:eastAsia="仿宋_GB2312"/>
          <w:b/>
          <w:bCs/>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center"/>
        <w:textAlignment w:val="auto"/>
        <w:outlineLvl w:val="9"/>
        <w:rPr>
          <w:rFonts w:hint="eastAsia" w:ascii="仿宋_GB2312" w:hAnsi="仿宋" w:eastAsia="仿宋_GB2312"/>
          <w:b/>
          <w:bCs/>
          <w:sz w:val="32"/>
          <w:szCs w:val="32"/>
        </w:rPr>
      </w:pPr>
      <w:r>
        <w:rPr>
          <w:rFonts w:hint="eastAsia" w:ascii="黑体" w:hAnsi="黑体" w:eastAsia="黑体" w:cs="黑体"/>
          <w:b w:val="0"/>
          <w:bCs w:val="0"/>
          <w:sz w:val="32"/>
          <w:szCs w:val="32"/>
        </w:rPr>
        <w:t>第一章</w:t>
      </w:r>
      <w:r>
        <w:rPr>
          <w:rFonts w:hint="eastAsia" w:ascii="黑体" w:hAnsi="黑体" w:eastAsia="黑体" w:cs="黑体"/>
          <w:b w:val="0"/>
          <w:bCs w:val="0"/>
          <w:sz w:val="32"/>
          <w:szCs w:val="32"/>
          <w:lang w:eastAsia="zh-CN"/>
        </w:rPr>
        <w:t>　</w:t>
      </w:r>
      <w:r>
        <w:rPr>
          <w:rFonts w:hint="eastAsia" w:ascii="黑体" w:hAnsi="黑体" w:eastAsia="黑体" w:cs="黑体"/>
          <w:b w:val="0"/>
          <w:bCs w:val="0"/>
          <w:sz w:val="32"/>
          <w:szCs w:val="32"/>
        </w:rPr>
        <w:t>总则</w:t>
      </w:r>
    </w:p>
    <w:p>
      <w:pPr>
        <w:pStyle w:val="8"/>
        <w:keepNext w:val="0"/>
        <w:keepLines w:val="0"/>
        <w:pageBreakBefore w:val="0"/>
        <w:kinsoku/>
        <w:wordWrap/>
        <w:overflowPunct/>
        <w:topLinePunct w:val="0"/>
        <w:autoSpaceDE/>
        <w:autoSpaceDN/>
        <w:bidi w:val="0"/>
        <w:adjustRightInd/>
        <w:spacing w:line="578" w:lineRule="exact"/>
        <w:ind w:firstLine="640" w:firstLineChars="200"/>
        <w:jc w:val="center"/>
        <w:textAlignment w:val="auto"/>
        <w:outlineLvl w:val="9"/>
        <w:rPr>
          <w:rFonts w:hint="eastAsia" w:ascii="仿宋_GB2312" w:eastAsia="仿宋_GB2312"/>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第一条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为了鼓励、扶持农民以及其他从事农业生产经营的组织和个人使用先进适用的农业机械，提高农业生产技术水平，推进农业现代化，根据《中华人民共和国农业机械化促进法》等有关法律、行政法规，结合本自治区实际，制定本条例。</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hAnsi="黑体" w:eastAsia="仿宋_GB2312" w:cs="黑体"/>
          <w:color w:val="000000"/>
          <w:sz w:val="32"/>
          <w:szCs w:val="32"/>
        </w:rPr>
      </w:pPr>
      <w:r>
        <w:rPr>
          <w:rFonts w:hint="eastAsia" w:ascii="黑体" w:hAnsi="黑体" w:eastAsia="黑体" w:cs="黑体"/>
          <w:b w:val="0"/>
          <w:bCs/>
          <w:color w:val="000000"/>
          <w:sz w:val="32"/>
          <w:szCs w:val="32"/>
        </w:rPr>
        <w:t>第二条</w:t>
      </w:r>
      <w:r>
        <w:rPr>
          <w:rFonts w:hint="eastAsia" w:ascii="仿宋_GB2312" w:hAnsi="仿宋" w:eastAsia="仿宋_GB2312"/>
          <w:color w:val="000000"/>
          <w:sz w:val="32"/>
          <w:szCs w:val="32"/>
        </w:rPr>
        <w:t>　在本自治区行政区域内从事农业机械推广使用、社会化服务、科研开发、质量保障等活动，适用本条例。</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第三条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县级以上人民政府应当加强对农业机械化促进工作的领导，把发展农业机械化纳入国民经济和社会发展计划，逐步增加对农业机械化的资金投入，加强农业机械化服务体系、安全保障体系和基础设施建设，支持农业机械化新技术、新产品推广应用，促进农业机械化的发展。</w:t>
      </w:r>
    </w:p>
    <w:p>
      <w:pPr>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eastAsia="仿宋_GB2312"/>
          <w:color w:val="000000"/>
          <w:kern w:val="0"/>
          <w:sz w:val="32"/>
          <w:szCs w:val="32"/>
        </w:rPr>
      </w:pPr>
      <w:r>
        <w:rPr>
          <w:rFonts w:hint="eastAsia" w:ascii="仿宋_GB2312" w:eastAsia="仿宋_GB2312"/>
          <w:color w:val="000000"/>
          <w:kern w:val="0"/>
          <w:sz w:val="32"/>
          <w:szCs w:val="32"/>
        </w:rPr>
        <w:t>县级人民政府应当加强农机管理员队伍建设，在村民委员会明确农机协管员，协助乡镇人民政府做好农业机械化促进工作。</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第四条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县级以上人民政府农业机械化主管部门负责本行政区域内的农业机械化促进工作。财政、公安、国土资源、交通运输、工商行政管理、质量技术监督等部门按照各自职责，共同做好本地区农业机械化促进工作。</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乡镇负责农业机械化工作的机构，负责做好本乡镇的农业机械化促进工作。</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第五条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县级以上人民政府农业机械化主管部门应当通过报纸、广播、电视、网络等方式开展农业机械应用技术、安全生产知识和有关法律、法规的宣传。</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第二章</w:t>
      </w:r>
      <w:r>
        <w:rPr>
          <w:rFonts w:hint="eastAsia" w:ascii="黑体" w:hAnsi="黑体" w:eastAsia="黑体" w:cs="黑体"/>
          <w:b w:val="0"/>
          <w:bCs/>
          <w:color w:val="000000"/>
          <w:sz w:val="32"/>
          <w:szCs w:val="32"/>
          <w:lang w:eastAsia="zh-CN"/>
        </w:rPr>
        <w:t>　</w:t>
      </w:r>
      <w:r>
        <w:rPr>
          <w:rFonts w:hint="eastAsia" w:ascii="黑体" w:hAnsi="黑体" w:eastAsia="黑体" w:cs="黑体"/>
          <w:b w:val="0"/>
          <w:bCs/>
          <w:color w:val="000000"/>
          <w:sz w:val="32"/>
          <w:szCs w:val="32"/>
        </w:rPr>
        <w:t>推广使用</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eastAsia="仿宋_GB2312"/>
          <w:b/>
          <w:color w:val="000000"/>
          <w:sz w:val="32"/>
          <w:szCs w:val="32"/>
        </w:rPr>
      </w:pPr>
      <w:bookmarkStart w:id="0" w:name="_GoBack"/>
      <w:bookmarkEnd w:id="0"/>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第六条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各级农业机械化技术推广机构，应当根据当地农业和农村经济发展的需要，结合自治区优势特色农业生产实际，推广适应本地特点的先进适用农业机械新技术、新产品。</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第七条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县级人民政府应当合理配置基层农业机械化技术推广专业人员。公益性农业机械化技术推广机构应当无偿提供农业机械化技术推广、培训服务。</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第八条</w:t>
      </w:r>
      <w:r>
        <w:rPr>
          <w:rFonts w:hint="eastAsia" w:ascii="仿宋_GB2312" w:eastAsia="仿宋_GB2312"/>
          <w:color w:val="000000"/>
          <w:sz w:val="32"/>
          <w:szCs w:val="32"/>
          <w:lang w:eastAsia="zh-CN"/>
        </w:rPr>
        <w:t>　</w:t>
      </w:r>
      <w:r>
        <w:rPr>
          <w:rFonts w:hint="eastAsia" w:ascii="仿宋_GB2312" w:eastAsia="仿宋_GB2312"/>
          <w:color w:val="000000"/>
          <w:sz w:val="32"/>
          <w:szCs w:val="32"/>
        </w:rPr>
        <w:t>自治区人民政府农业机械化主管部门应当会同有关部门根据农业结构调整、推广农业新技术和加快农业机械更新的需要，确定、调整并公布农业机械推广产品目录，为农民以及其他从事农业生产经营的组织和个人选购农业机械提供信息服务。</w:t>
      </w:r>
    </w:p>
    <w:p>
      <w:pPr>
        <w:pStyle w:val="8"/>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第九条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县级以上人民政府应当组织农业行政主管部门、农业机械化主管部门等有关部门，建立健全农业机械与农艺融合机制，促进农业机械设计研发、制造工艺、作业技术等与农田建设规范、农作物品种选育标准、栽培模式、田间管理等互相适应、融合。</w:t>
      </w:r>
    </w:p>
    <w:p>
      <w:pPr>
        <w:pStyle w:val="8"/>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第十条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县级以上人民政府应当扶持建立农业机械化示范基地，加快农业机械化新技术、新产品的引进和试验，推进农业机械与农艺融合，为农民以及其他从事农业生产经营的组织和个人使用先进适用的农业机械提供示范服务。</w:t>
      </w:r>
    </w:p>
    <w:p>
      <w:pPr>
        <w:pStyle w:val="8"/>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县级以上人民政府应当支持国有农林场加强农业机械化示范基地建设，在引进、使用先进适用的农业机械新技术、新产品等方面发挥示范、引领和带动作用。</w:t>
      </w:r>
    </w:p>
    <w:p>
      <w:pPr>
        <w:pStyle w:val="8"/>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自治区人民政府农业机械化主管部门应当会同有关部门制定并公布农业机械化示范基地建设标准。</w:t>
      </w:r>
    </w:p>
    <w:p>
      <w:pPr>
        <w:pStyle w:val="8"/>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第三章</w:t>
      </w:r>
      <w:r>
        <w:rPr>
          <w:rFonts w:hint="eastAsia" w:ascii="黑体" w:hAnsi="黑体" w:eastAsia="黑体" w:cs="黑体"/>
          <w:b w:val="0"/>
          <w:bCs/>
          <w:color w:val="000000"/>
          <w:sz w:val="32"/>
          <w:szCs w:val="32"/>
          <w:lang w:eastAsia="zh-CN"/>
        </w:rPr>
        <w:t>　</w:t>
      </w:r>
      <w:r>
        <w:rPr>
          <w:rFonts w:hint="eastAsia" w:ascii="黑体" w:hAnsi="黑体" w:eastAsia="黑体" w:cs="黑体"/>
          <w:b w:val="0"/>
          <w:bCs/>
          <w:color w:val="000000"/>
          <w:sz w:val="32"/>
          <w:szCs w:val="32"/>
        </w:rPr>
        <w:t>社会化服务</w:t>
      </w:r>
    </w:p>
    <w:p>
      <w:pPr>
        <w:pStyle w:val="8"/>
        <w:keepNext w:val="0"/>
        <w:keepLines w:val="0"/>
        <w:pageBreakBefore w:val="0"/>
        <w:kinsoku/>
        <w:wordWrap/>
        <w:overflowPunct/>
        <w:topLinePunct w:val="0"/>
        <w:autoSpaceDE/>
        <w:autoSpaceDN/>
        <w:bidi w:val="0"/>
        <w:adjustRightInd/>
        <w:spacing w:line="578" w:lineRule="exact"/>
        <w:ind w:firstLine="643" w:firstLineChars="200"/>
        <w:jc w:val="center"/>
        <w:textAlignment w:val="auto"/>
        <w:outlineLvl w:val="9"/>
        <w:rPr>
          <w:rFonts w:hint="eastAsia" w:ascii="仿宋_GB2312" w:eastAsia="仿宋_GB2312"/>
          <w:b/>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第十一条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各级人民政府应当鼓励和扶持农民以及其他从事农业生产经营的组织和个人实行农业机械联合经营或者合作经营，扶持农业机械专业合作社、作业公司、租赁公司、作业服务协会、信息网络平台、中介组织等，建立健全农业机械化服务体系，推动农业机械化服务向市场化、规模化、信息化、产业化、社会化发展。</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hAnsi="黑体" w:eastAsia="仿宋_GB2312"/>
          <w:color w:val="FF0000"/>
          <w:sz w:val="32"/>
          <w:szCs w:val="32"/>
        </w:rPr>
      </w:pPr>
      <w:r>
        <w:rPr>
          <w:rFonts w:hint="eastAsia" w:ascii="黑体" w:hAnsi="黑体" w:eastAsia="黑体" w:cs="黑体"/>
          <w:b w:val="0"/>
          <w:bCs/>
          <w:color w:val="000000"/>
          <w:sz w:val="32"/>
          <w:szCs w:val="32"/>
        </w:rPr>
        <w:t>第十二条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各级人民政府及有关部门应当鼓励和支持农民以及其他从事农业生产经营的组织和个人与农业机械作业组织按照自愿协商的原则开展有偿农业机械作业服务。</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县级以上人民政府农业机械化主管部门负责农业机械跨行政区域作业的组织、协调和监督管理。公安、交通等有关部门应当在各自职责范围内，为农业机械转移提供安全保障和通行便利。</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w:t>
      </w:r>
      <w:r>
        <w:rPr>
          <w:rFonts w:hint="eastAsia" w:ascii="仿宋_GB2312" w:hAnsi="黑体" w:eastAsia="仿宋_GB2312"/>
          <w:sz w:val="32"/>
          <w:szCs w:val="32"/>
        </w:rPr>
        <w:t>跨行政区域作业的联合收割机、运输跨行政区域作业的联合收割机（包括插秧机）的车辆，按照国家有关规定免交车辆通行费。</w:t>
      </w:r>
    </w:p>
    <w:p>
      <w:pPr>
        <w:pStyle w:val="8"/>
        <w:keepNext w:val="0"/>
        <w:keepLines w:val="0"/>
        <w:pageBreakBefore w:val="0"/>
        <w:kinsoku/>
        <w:wordWrap/>
        <w:overflowPunct/>
        <w:topLinePunct w:val="0"/>
        <w:autoSpaceDE/>
        <w:autoSpaceDN/>
        <w:bidi w:val="0"/>
        <w:adjustRightInd/>
        <w:spacing w:line="578" w:lineRule="exact"/>
        <w:ind w:firstLine="640" w:firstLineChars="200"/>
        <w:jc w:val="left"/>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县级以上人民政府应当做好农业机械作业用油、用电、用气供应的协调工作，保障水稻、糖料蔗等农作物种收季节农业机械作业需要。</w:t>
      </w:r>
    </w:p>
    <w:p>
      <w:pPr>
        <w:pStyle w:val="8"/>
        <w:keepNext w:val="0"/>
        <w:keepLines w:val="0"/>
        <w:pageBreakBefore w:val="0"/>
        <w:kinsoku/>
        <w:wordWrap/>
        <w:overflowPunct/>
        <w:topLinePunct w:val="0"/>
        <w:autoSpaceDE/>
        <w:autoSpaceDN/>
        <w:bidi w:val="0"/>
        <w:adjustRightInd/>
        <w:snapToGrid w:val="0"/>
        <w:spacing w:line="578" w:lineRule="exact"/>
        <w:ind w:firstLine="643" w:firstLineChars="200"/>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第十三条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县级以上人民政府应当</w:t>
      </w:r>
      <w:r>
        <w:rPr>
          <w:rFonts w:hint="eastAsia" w:ascii="仿宋_GB2312" w:hAnsi="仿宋" w:eastAsia="仿宋_GB2312"/>
          <w:color w:val="000000"/>
          <w:sz w:val="32"/>
          <w:szCs w:val="32"/>
        </w:rPr>
        <w:t>采取措施，</w:t>
      </w:r>
      <w:r>
        <w:rPr>
          <w:rFonts w:hint="eastAsia" w:ascii="仿宋_GB2312" w:eastAsia="仿宋_GB2312"/>
          <w:color w:val="000000"/>
          <w:sz w:val="32"/>
          <w:szCs w:val="32"/>
        </w:rPr>
        <w:t>推进农业机械化信息网络建设，完善农业机械化公益性信息收集与发布机制，及时提供公益性农业机械化信息服务。</w:t>
      </w:r>
    </w:p>
    <w:p>
      <w:pPr>
        <w:pStyle w:val="8"/>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第十四条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县级以上人民政府农业机械化主管部门负责农业机械化服务体系的建设规划和监督管理，鼓励和引导农业机械服务组织开展农业机械示范推广、技术培训以及信息、中介、销售、维修等服务。</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w:t>
      </w:r>
      <w:r>
        <w:rPr>
          <w:rFonts w:hint="eastAsia" w:ascii="仿宋_GB2312" w:eastAsia="仿宋_GB2312"/>
          <w:b/>
          <w:color w:val="000000"/>
          <w:sz w:val="32"/>
          <w:szCs w:val="32"/>
        </w:rPr>
        <w:t>第</w:t>
      </w:r>
      <w:r>
        <w:rPr>
          <w:rFonts w:hint="eastAsia" w:ascii="仿宋_GB2312" w:hAnsi="黑体" w:eastAsia="仿宋_GB2312"/>
          <w:b/>
          <w:color w:val="000000"/>
          <w:sz w:val="32"/>
          <w:szCs w:val="32"/>
        </w:rPr>
        <w:t>十五</w:t>
      </w:r>
      <w:r>
        <w:rPr>
          <w:rFonts w:hint="eastAsia" w:ascii="仿宋_GB2312" w:eastAsia="仿宋_GB2312"/>
          <w:b/>
          <w:color w:val="000000"/>
          <w:sz w:val="32"/>
          <w:szCs w:val="32"/>
        </w:rPr>
        <w:t>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 xml:space="preserve">各级农业机械化技术院校应当根据农业机械化发展的需要，为拖拉机、联合收割机、插秧机等农业机械使用、维修、销售、管理等人员提供多种形式的技术培训。 </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从事拖拉机驾驶培训活动的单位，应当具备与其培训活动相适应的场地、设备、技术人员、规章制度，并取得县级人民政府农业机械化主管部门颁发的驾驶培训许可证后，方可开展培训活动。</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left="0" w:leftChars="0" w:firstLine="0" w:firstLineChars="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第四章</w:t>
      </w:r>
      <w:r>
        <w:rPr>
          <w:rFonts w:hint="eastAsia" w:ascii="黑体" w:hAnsi="黑体" w:eastAsia="黑体" w:cs="黑体"/>
          <w:b w:val="0"/>
          <w:bCs/>
          <w:color w:val="000000"/>
          <w:sz w:val="32"/>
          <w:szCs w:val="32"/>
          <w:lang w:eastAsia="zh-CN"/>
        </w:rPr>
        <w:t>　</w:t>
      </w:r>
      <w:r>
        <w:rPr>
          <w:rFonts w:hint="eastAsia" w:ascii="黑体" w:hAnsi="黑体" w:eastAsia="黑体" w:cs="黑体"/>
          <w:b w:val="0"/>
          <w:bCs/>
          <w:color w:val="000000"/>
          <w:sz w:val="32"/>
          <w:szCs w:val="32"/>
        </w:rPr>
        <w:t>科研开发</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hAnsi="黑体" w:eastAsia="仿宋_GB2312"/>
          <w:b/>
          <w:color w:val="000000"/>
          <w:sz w:val="32"/>
          <w:szCs w:val="32"/>
        </w:rPr>
      </w:pPr>
    </w:p>
    <w:p>
      <w:pPr>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hAnsi="黑体" w:eastAsia="仿宋_GB2312" w:cs="Arial"/>
          <w:color w:val="000000"/>
          <w:kern w:val="0"/>
          <w:sz w:val="32"/>
          <w:szCs w:val="32"/>
        </w:rPr>
      </w:pPr>
      <w:r>
        <w:rPr>
          <w:rFonts w:hint="eastAsia" w:ascii="黑体" w:hAnsi="黑体" w:eastAsia="黑体" w:cs="黑体"/>
          <w:b w:val="0"/>
          <w:bCs/>
          <w:color w:val="000000"/>
          <w:kern w:val="0"/>
          <w:sz w:val="32"/>
          <w:szCs w:val="32"/>
          <w:lang w:val="en-US" w:eastAsia="zh-CN" w:bidi="ar-SA"/>
        </w:rPr>
        <w:t>第十六条</w:t>
      </w:r>
      <w:r>
        <w:rPr>
          <w:rFonts w:hint="eastAsia" w:ascii="仿宋_GB2312" w:hAnsi="黑体" w:eastAsia="仿宋_GB2312"/>
          <w:b/>
          <w:color w:val="000000"/>
          <w:sz w:val="32"/>
          <w:szCs w:val="32"/>
          <w:lang w:eastAsia="zh-CN"/>
        </w:rPr>
        <w:t>　</w:t>
      </w:r>
      <w:r>
        <w:rPr>
          <w:rFonts w:hint="eastAsia" w:ascii="仿宋_GB2312" w:hAnsi="黑体" w:eastAsia="仿宋_GB2312" w:cs="宋体"/>
          <w:kern w:val="0"/>
          <w:sz w:val="32"/>
          <w:szCs w:val="32"/>
        </w:rPr>
        <w:t>自治区人民政府农业机械化主管部门应当会同科学技术行政部门、农业行政主管部门，根据农业生产实际，组织编制农业机械产品需求与科研导向目录，报自治区人民政府审定发布。</w:t>
      </w:r>
    </w:p>
    <w:p>
      <w:pPr>
        <w:keepNext w:val="0"/>
        <w:keepLines w:val="0"/>
        <w:pageBreakBefore w:val="0"/>
        <w:widowControl/>
        <w:shd w:val="clear" w:color="auto" w:fill="FFFFFF"/>
        <w:kinsoku/>
        <w:wordWrap/>
        <w:overflowPunct/>
        <w:topLinePunct w:val="0"/>
        <w:autoSpaceDE/>
        <w:autoSpaceDN/>
        <w:bidi w:val="0"/>
        <w:adjustRightInd/>
        <w:spacing w:line="578" w:lineRule="exact"/>
        <w:ind w:firstLine="630" w:firstLineChars="196"/>
        <w:jc w:val="left"/>
        <w:textAlignment w:val="auto"/>
        <w:outlineLvl w:val="9"/>
        <w:rPr>
          <w:rFonts w:hint="eastAsia" w:ascii="仿宋_GB2312" w:hAnsi="黑体" w:eastAsia="仿宋_GB2312"/>
          <w:color w:val="333333"/>
          <w:sz w:val="32"/>
          <w:szCs w:val="32"/>
          <w:shd w:val="clear" w:color="auto" w:fill="FFFFFF"/>
        </w:rPr>
      </w:pPr>
      <w:r>
        <w:rPr>
          <w:rFonts w:hint="eastAsia" w:ascii="黑体" w:hAnsi="黑体" w:eastAsia="黑体" w:cs="黑体"/>
          <w:b w:val="0"/>
          <w:bCs/>
          <w:color w:val="000000"/>
          <w:kern w:val="0"/>
          <w:sz w:val="32"/>
          <w:szCs w:val="32"/>
          <w:lang w:val="en-US" w:eastAsia="zh-CN" w:bidi="ar-SA"/>
        </w:rPr>
        <w:t>第十七条　</w:t>
      </w:r>
      <w:r>
        <w:rPr>
          <w:rFonts w:hint="eastAsia" w:ascii="仿宋_GB2312" w:hAnsi="黑体" w:eastAsia="仿宋_GB2312" w:cs="宋体"/>
          <w:kern w:val="0"/>
          <w:sz w:val="32"/>
          <w:szCs w:val="32"/>
        </w:rPr>
        <w:t>自治区人民政府科学技术行政部门应当会</w:t>
      </w:r>
      <w:r>
        <w:rPr>
          <w:rFonts w:hint="eastAsia" w:ascii="仿宋_GB2312" w:hAnsi="黑体" w:eastAsia="仿宋_GB2312"/>
          <w:color w:val="333333"/>
          <w:sz w:val="32"/>
          <w:szCs w:val="32"/>
          <w:shd w:val="clear" w:color="auto" w:fill="FFFFFF"/>
        </w:rPr>
        <w:t>同农业行政主管部门、农业机械化主管部门，</w:t>
      </w:r>
      <w:r>
        <w:rPr>
          <w:rFonts w:hint="eastAsia" w:ascii="仿宋_GB2312" w:hAnsi="黑体" w:eastAsia="仿宋_GB2312" w:cs="宋体"/>
          <w:kern w:val="0"/>
          <w:sz w:val="32"/>
          <w:szCs w:val="32"/>
        </w:rPr>
        <w:t>根据农业生产需要，</w:t>
      </w:r>
      <w:r>
        <w:rPr>
          <w:rFonts w:hint="eastAsia" w:ascii="仿宋_GB2312" w:hAnsi="黑体" w:eastAsia="仿宋_GB2312"/>
          <w:color w:val="333333"/>
          <w:sz w:val="32"/>
          <w:szCs w:val="32"/>
          <w:shd w:val="clear" w:color="auto" w:fill="FFFFFF"/>
        </w:rPr>
        <w:t>制定并组织实施本地区的</w:t>
      </w:r>
      <w:r>
        <w:rPr>
          <w:rFonts w:hint="eastAsia" w:ascii="仿宋_GB2312" w:hAnsi="黑体" w:eastAsia="仿宋_GB2312" w:cs="宋体"/>
          <w:kern w:val="0"/>
          <w:sz w:val="32"/>
          <w:szCs w:val="32"/>
        </w:rPr>
        <w:t>农业机械科研开发项目计划，</w:t>
      </w:r>
      <w:r>
        <w:rPr>
          <w:rFonts w:hint="eastAsia" w:ascii="仿宋_GB2312" w:hAnsi="黑体" w:eastAsia="仿宋_GB2312"/>
          <w:color w:val="333333"/>
          <w:sz w:val="32"/>
          <w:szCs w:val="32"/>
          <w:shd w:val="clear" w:color="auto" w:fill="FFFFFF"/>
        </w:rPr>
        <w:t>组织科研机构、院校和企业，开展基础性、关键性、公益性的农业机械技术攻关。</w:t>
      </w:r>
    </w:p>
    <w:p>
      <w:pPr>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hAnsi="黑体" w:eastAsia="仿宋_GB2312" w:cs="Arial"/>
          <w:color w:val="000000"/>
          <w:kern w:val="0"/>
          <w:sz w:val="32"/>
          <w:szCs w:val="32"/>
        </w:rPr>
      </w:pPr>
      <w:r>
        <w:rPr>
          <w:rFonts w:hint="eastAsia" w:ascii="仿宋_GB2312" w:eastAsia="仿宋_GB2312"/>
          <w:color w:val="000000"/>
          <w:sz w:val="32"/>
          <w:szCs w:val="32"/>
        </w:rPr>
        <w:t>县级以上人民政府应当将农业机械科研开发纳入科学和技术发展规划，结合实际制定优惠政策和扶持措施，加强农业机械科研平台建设。</w:t>
      </w:r>
    </w:p>
    <w:p>
      <w:pPr>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hAnsi="黑体" w:eastAsia="仿宋_GB2312" w:cs="Arial"/>
          <w:color w:val="000000"/>
          <w:kern w:val="0"/>
          <w:sz w:val="32"/>
          <w:szCs w:val="32"/>
        </w:rPr>
      </w:pPr>
      <w:r>
        <w:rPr>
          <w:rFonts w:hint="eastAsia" w:ascii="仿宋_GB2312" w:hAnsi="黑体" w:eastAsia="仿宋_GB2312" w:cs="宋体"/>
          <w:b/>
          <w:kern w:val="0"/>
          <w:sz w:val="32"/>
          <w:szCs w:val="32"/>
        </w:rPr>
        <w:t>第十八条</w:t>
      </w:r>
      <w:r>
        <w:rPr>
          <w:rFonts w:hint="eastAsia" w:ascii="仿宋_GB2312" w:hAnsi="黑体" w:eastAsia="仿宋_GB2312"/>
          <w:b/>
          <w:color w:val="000000"/>
          <w:sz w:val="32"/>
          <w:szCs w:val="32"/>
          <w:lang w:eastAsia="zh-CN"/>
        </w:rPr>
        <w:t>　</w:t>
      </w:r>
      <w:r>
        <w:rPr>
          <w:rFonts w:hint="eastAsia" w:ascii="仿宋_GB2312" w:hAnsi="黑体" w:eastAsia="仿宋_GB2312" w:cs="Arial"/>
          <w:color w:val="000000"/>
          <w:kern w:val="0"/>
          <w:sz w:val="32"/>
          <w:szCs w:val="32"/>
        </w:rPr>
        <w:t>县级以上人民政府应当采取措施，鼓励、支持研究开发或者引进先进适用、节能环保并适应广西地形地貌、气候条件和产业特点的农业机械新技术、新材料、新工艺，对获得自主知识产权并有重要推广价值的农业机械科技成果安排资金予以扶持。</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left="0" w:leftChars="0" w:firstLine="0" w:firstLineChars="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第五章</w:t>
      </w:r>
      <w:r>
        <w:rPr>
          <w:rFonts w:hint="eastAsia" w:ascii="黑体" w:hAnsi="黑体" w:eastAsia="黑体" w:cs="黑体"/>
          <w:b w:val="0"/>
          <w:bCs/>
          <w:color w:val="000000"/>
          <w:sz w:val="32"/>
          <w:szCs w:val="32"/>
          <w:lang w:eastAsia="zh-CN"/>
        </w:rPr>
        <w:t>　</w:t>
      </w:r>
      <w:r>
        <w:rPr>
          <w:rFonts w:hint="eastAsia" w:ascii="黑体" w:hAnsi="黑体" w:eastAsia="黑体" w:cs="黑体"/>
          <w:b w:val="0"/>
          <w:bCs/>
          <w:color w:val="000000"/>
          <w:sz w:val="32"/>
          <w:szCs w:val="32"/>
        </w:rPr>
        <w:t>质量保障</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eastAsia="仿宋_GB2312"/>
          <w:b/>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第十九条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农业机械生产者、经营者从事农业机械生产、维修、作业服务，应当执行国家、</w:t>
      </w:r>
      <w:r>
        <w:rPr>
          <w:rFonts w:hint="eastAsia" w:ascii="仿宋_GB2312" w:hAnsi="黑体" w:eastAsia="仿宋_GB2312"/>
          <w:color w:val="000000"/>
          <w:sz w:val="32"/>
          <w:szCs w:val="32"/>
        </w:rPr>
        <w:t>行业</w:t>
      </w:r>
      <w:r>
        <w:rPr>
          <w:rFonts w:hint="eastAsia" w:ascii="仿宋_GB2312" w:eastAsia="仿宋_GB2312"/>
          <w:color w:val="000000"/>
          <w:sz w:val="32"/>
          <w:szCs w:val="32"/>
        </w:rPr>
        <w:t xml:space="preserve">或者自治区有关标准、技术规范。 </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农业机械生产、维修、作业没有国家标准和行业标准的，自治区人民政府农业机械化主管部门应当会同本级标准化行政主管部门及时制定有关地方标准、技术规范。 </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从事农业机械维修、作业服务，国家和自治区没有制定标准或者技术规范的，按照经营者和使用者双方约定的标准执行。</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bdr w:val="single" w:color="auto" w:sz="4" w:space="0"/>
        </w:rPr>
      </w:pPr>
      <w:r>
        <w:rPr>
          <w:rFonts w:hint="eastAsia" w:ascii="黑体" w:hAnsi="黑体" w:eastAsia="黑体" w:cs="黑体"/>
          <w:b w:val="0"/>
          <w:bCs/>
          <w:color w:val="000000"/>
          <w:sz w:val="32"/>
          <w:szCs w:val="32"/>
        </w:rPr>
        <w:t>第二十条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农业机械生产者、销售者和维修者应当按照农业机械产品修理、更换、退货有关责任规定，对不符合质量要求的农业机械负责修理、更换、退货，给农业机械使用者造成损失的，应当依法赔偿。</w:t>
      </w:r>
    </w:p>
    <w:p>
      <w:pPr>
        <w:pStyle w:val="8"/>
        <w:keepNext w:val="0"/>
        <w:keepLines w:val="0"/>
        <w:pageBreakBefore w:val="0"/>
        <w:kinsoku/>
        <w:wordWrap/>
        <w:overflowPunct/>
        <w:topLinePunct w:val="0"/>
        <w:autoSpaceDE/>
        <w:autoSpaceDN/>
        <w:bidi w:val="0"/>
        <w:adjustRightInd/>
        <w:spacing w:line="578" w:lineRule="exact"/>
        <w:ind w:firstLine="640" w:firstLineChars="200"/>
        <w:jc w:val="left"/>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农业机械生产者、销售者和维修者应当保证农业机械常用零配件的正常供应，及时处理农业机械故障。</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第二十一条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 xml:space="preserve">自治区人民政府农业机械化主管部门应当加强农业机械质量调查工作，制定并组织实施自治区农业机械质量调查计划，定期公布调查结果。 </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县级以上人民政府农业机械化主管部门应当及时处理农业机械产品质量、作业质量、维修质量和服务质量投诉。 </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县级以上人民政府农业机械化主管部门开展调查或者处理质量投诉，不得收取任何费用。</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第二十二条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从事农业机械维修经营的，应当依法办理工商登记手续，并且具备国家规定的条件，取得相应类别和等级的农业机械维修技术合格证书，方可从事农业机械维修业务。</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农业机械维修经营者应当在核准的维修类别和等级范围内从事维修业务，不得超越范围承揽维修项目。</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第二十三条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申请农业机械维修技术合格证书，应当向经营所在地的县级人民政府农业机械化主管部门提出申请，提交能够证明所具备条件的有关材料。县级人民政府农业机械化主管部门应当自收到申请之日起二十个工作日内作出是否批准的决定;不予批准的，应当书面通知申请人并说明理由。</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left="0" w:leftChars="0" w:firstLine="0" w:firstLineChars="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第六章 扶持措施</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第二十四条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各级人民政府应当加强以政府推广为主导的公益性农业机械化技术推广体系建设，支持农</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仿宋_GB2312" w:eastAsia="仿宋_GB2312"/>
          <w:b/>
          <w:color w:val="000000"/>
          <w:sz w:val="32"/>
          <w:szCs w:val="32"/>
        </w:rPr>
      </w:pPr>
      <w:r>
        <w:rPr>
          <w:rFonts w:hint="eastAsia" w:ascii="仿宋_GB2312" w:eastAsia="仿宋_GB2312"/>
          <w:color w:val="000000"/>
          <w:sz w:val="32"/>
          <w:szCs w:val="32"/>
        </w:rPr>
        <w:t xml:space="preserve">业机械化技术推广、培训、试验、示范。    </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第二十五条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基层农业机械化技术培训、推广机构的资产受法律保护，任何单位和个人不得侵占或者无偿调拨。农业机械化技术院校合并、撤销的，应当在合并、撤销后报上一级人民政府农业机械化主管部门备案。</w:t>
      </w:r>
    </w:p>
    <w:p>
      <w:pPr>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eastAsia="仿宋_GB2312"/>
          <w:color w:val="000000"/>
          <w:kern w:val="0"/>
          <w:sz w:val="32"/>
          <w:szCs w:val="32"/>
          <w:bdr w:val="single" w:color="auto" w:sz="4" w:space="0"/>
        </w:rPr>
      </w:pPr>
      <w:r>
        <w:rPr>
          <w:rFonts w:hint="eastAsia" w:ascii="黑体" w:hAnsi="黑体" w:eastAsia="黑体" w:cs="黑体"/>
          <w:b w:val="0"/>
          <w:bCs/>
          <w:color w:val="000000"/>
          <w:kern w:val="0"/>
          <w:sz w:val="32"/>
          <w:szCs w:val="32"/>
          <w:lang w:val="en-US" w:eastAsia="zh-CN" w:bidi="ar-SA"/>
        </w:rPr>
        <w:t>第二十六条　</w:t>
      </w:r>
      <w:r>
        <w:rPr>
          <w:rFonts w:hint="eastAsia" w:ascii="仿宋_GB2312" w:eastAsia="仿宋_GB2312"/>
          <w:color w:val="000000"/>
          <w:kern w:val="0"/>
          <w:sz w:val="32"/>
          <w:szCs w:val="32"/>
        </w:rPr>
        <w:t>自治区人民政府应当建立和完善农业机械补贴制度。</w:t>
      </w:r>
    </w:p>
    <w:p>
      <w:pPr>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hAnsi="黑体" w:eastAsia="仿宋_GB2312"/>
          <w:sz w:val="32"/>
          <w:szCs w:val="32"/>
        </w:rPr>
      </w:pPr>
      <w:r>
        <w:rPr>
          <w:rFonts w:hint="eastAsia" w:ascii="仿宋_GB2312" w:eastAsia="仿宋_GB2312"/>
          <w:color w:val="000000"/>
          <w:sz w:val="32"/>
          <w:szCs w:val="32"/>
        </w:rPr>
        <w:t>农民以及其他从事农业生产经营的组织和个人</w:t>
      </w:r>
      <w:r>
        <w:rPr>
          <w:rFonts w:hint="eastAsia" w:ascii="仿宋_GB2312" w:hAnsi="黑体" w:eastAsia="仿宋_GB2312"/>
          <w:sz w:val="32"/>
          <w:szCs w:val="32"/>
        </w:rPr>
        <w:t>购置政府支持推广的农业机械</w:t>
      </w:r>
      <w:r>
        <w:rPr>
          <w:rFonts w:hint="eastAsia" w:ascii="仿宋_GB2312" w:hAnsi="仿宋" w:eastAsia="仿宋_GB2312"/>
          <w:sz w:val="32"/>
          <w:szCs w:val="32"/>
        </w:rPr>
        <w:t>的，在粮食、糖料蔗等农业生产中使用农业机械或者提前更新其使用的高耗能农业机械的，按照国家和自治区有关规定享受购置补贴、作业补贴、更新补贴。</w:t>
      </w:r>
    </w:p>
    <w:p>
      <w:pPr>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县级人民政府应当提高补贴服务质量和效率，简化补贴发放程序，推进农业机械补贴服务窗口逐步向农村延伸设置。</w:t>
      </w:r>
    </w:p>
    <w:p>
      <w:pPr>
        <w:keepNext w:val="0"/>
        <w:keepLines w:val="0"/>
        <w:pageBreakBefore w:val="0"/>
        <w:kinsoku/>
        <w:wordWrap/>
        <w:overflowPunct/>
        <w:topLinePunct w:val="0"/>
        <w:autoSpaceDE/>
        <w:autoSpaceDN/>
        <w:bidi w:val="0"/>
        <w:adjustRightInd/>
        <w:spacing w:line="578" w:lineRule="exact"/>
        <w:ind w:firstLine="640" w:firstLineChars="200"/>
        <w:textAlignment w:val="auto"/>
        <w:outlineLvl w:val="9"/>
        <w:rPr>
          <w:rFonts w:hint="eastAsia" w:ascii="仿宋_GB2312" w:hAnsi="黑体" w:eastAsia="仿宋_GB2312"/>
          <w:color w:val="000000"/>
          <w:sz w:val="32"/>
          <w:szCs w:val="32"/>
        </w:rPr>
      </w:pPr>
      <w:r>
        <w:rPr>
          <w:rFonts w:hint="eastAsia" w:ascii="仿宋_GB2312" w:hAnsi="黑体" w:eastAsia="仿宋_GB2312"/>
          <w:color w:val="000000"/>
          <w:sz w:val="32"/>
          <w:szCs w:val="32"/>
        </w:rPr>
        <w:t>县级以上人民政府及其有关部门应当通过强化信息公开、绩效考核、风险防控等方式，加强对农业机械补贴资金使用的监督管理。农业机械补贴资金应当专款专用，不得挤占、截留、挪用，不得超越规定的对象、标准和种类发放补贴资金。</w:t>
      </w:r>
    </w:p>
    <w:p>
      <w:pPr>
        <w:keepNext w:val="0"/>
        <w:keepLines w:val="0"/>
        <w:pageBreakBefore w:val="0"/>
        <w:widowControl/>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kern w:val="0"/>
          <w:sz w:val="32"/>
          <w:szCs w:val="32"/>
        </w:rPr>
      </w:pPr>
      <w:r>
        <w:rPr>
          <w:rFonts w:hint="eastAsia" w:ascii="黑体" w:hAnsi="黑体" w:eastAsia="黑体" w:cs="黑体"/>
          <w:b w:val="0"/>
          <w:bCs/>
          <w:color w:val="000000"/>
          <w:kern w:val="0"/>
          <w:sz w:val="32"/>
          <w:szCs w:val="32"/>
          <w:lang w:val="en-US" w:eastAsia="zh-CN" w:bidi="ar-SA"/>
        </w:rPr>
        <w:t>第二十七条　</w:t>
      </w:r>
      <w:r>
        <w:rPr>
          <w:rFonts w:hint="eastAsia" w:ascii="仿宋_GB2312" w:eastAsia="仿宋_GB2312"/>
          <w:color w:val="000000"/>
          <w:kern w:val="0"/>
          <w:sz w:val="32"/>
          <w:szCs w:val="32"/>
        </w:rPr>
        <w:t>县级以上人民政府可以采用贷款贴息方式，引导金融机构向购置农业机械、开展农业机械作业服务以及从事农业机械科研开发、技术创新的组织和个人提供贷款。</w:t>
      </w:r>
    </w:p>
    <w:p>
      <w:pPr>
        <w:pStyle w:val="8"/>
        <w:keepNext w:val="0"/>
        <w:keepLines w:val="0"/>
        <w:pageBreakBefore w:val="0"/>
        <w:kinsoku/>
        <w:wordWrap/>
        <w:overflowPunct/>
        <w:topLinePunct w:val="0"/>
        <w:autoSpaceDE/>
        <w:autoSpaceDN/>
        <w:bidi w:val="0"/>
        <w:adjustRightInd/>
        <w:spacing w:line="578" w:lineRule="exact"/>
        <w:ind w:firstLine="640" w:firstLineChars="200"/>
        <w:jc w:val="left"/>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鼓励金融机构创新金融产品和服务方式，开展小额信用贷款、联保贷款、农业机械抵押贷款和农业机械融资租赁业务，支持农民以及其他从事农业生产经营的组织和个人购置、使用先进适用的农业机械。</w:t>
      </w:r>
    </w:p>
    <w:p>
      <w:pPr>
        <w:pStyle w:val="8"/>
        <w:keepNext w:val="0"/>
        <w:keepLines w:val="0"/>
        <w:pageBreakBefore w:val="0"/>
        <w:kinsoku/>
        <w:wordWrap/>
        <w:overflowPunct/>
        <w:topLinePunct w:val="0"/>
        <w:autoSpaceDE/>
        <w:autoSpaceDN/>
        <w:bidi w:val="0"/>
        <w:adjustRightInd/>
        <w:spacing w:line="578" w:lineRule="exact"/>
        <w:ind w:firstLine="640" w:firstLineChars="200"/>
        <w:jc w:val="left"/>
        <w:textAlignment w:val="auto"/>
        <w:outlineLvl w:val="9"/>
        <w:rPr>
          <w:rFonts w:hint="eastAsia" w:ascii="仿宋_GB2312" w:hAnsi="黑体" w:eastAsia="仿宋_GB2312"/>
          <w:color w:val="000000"/>
          <w:sz w:val="32"/>
          <w:szCs w:val="32"/>
        </w:rPr>
      </w:pPr>
      <w:r>
        <w:rPr>
          <w:rFonts w:hint="eastAsia" w:ascii="仿宋_GB2312" w:hAnsi="黑体" w:eastAsia="仿宋_GB2312"/>
          <w:sz w:val="32"/>
          <w:szCs w:val="32"/>
        </w:rPr>
        <w:t>鼓励保险机构开展农业机械保险业务。县级以上人民政府应当采取措施逐步将农业生产作业拖拉机、联合收割机、粮食烘干机等纳入保险费用补贴范围。</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第二十八条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县级以上人民政府应当逐年增加公益性农业机械化基础设施、技术推广、培训的投入，把农村机耕道路、规模化育秧（苗）场所、粮食烘干场所等农业机械化基础设施的建设和维护纳入地方年度基础设施计划；将农业机械化技术推广、技术培训、安全监理、质量投诉监督、鉴定机构履行公益性职能所需经费纳入同级财政预算。</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第二十九条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自治区人民政府应当在农业发展资金安排中，适当倾斜支持国家和自治区确定的贫困县的农业机械化发展。</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第三十条</w:t>
      </w:r>
      <w:r>
        <w:rPr>
          <w:rFonts w:hint="eastAsia" w:ascii="仿宋_GB2312" w:eastAsia="仿宋_GB2312"/>
          <w:b/>
          <w:color w:val="000000"/>
          <w:sz w:val="32"/>
          <w:szCs w:val="32"/>
          <w:lang w:eastAsia="zh-CN"/>
        </w:rPr>
        <w:t>　</w:t>
      </w:r>
      <w:r>
        <w:rPr>
          <w:rFonts w:hint="eastAsia" w:ascii="仿宋_GB2312" w:eastAsia="仿宋_GB2312"/>
          <w:color w:val="000000"/>
          <w:sz w:val="32"/>
          <w:szCs w:val="32"/>
        </w:rPr>
        <w:t>规模化育秧（苗）场所、粮食烘干场所以及大型农业机械临时停放场（库、棚）等项目所需用地，按照农业生产设施用地或者配套设施用地予以安排。</w:t>
      </w:r>
    </w:p>
    <w:p>
      <w:pPr>
        <w:pStyle w:val="8"/>
        <w:keepNext w:val="0"/>
        <w:keepLines w:val="0"/>
        <w:pageBreakBefore w:val="0"/>
        <w:kinsoku/>
        <w:wordWrap/>
        <w:overflowPunct/>
        <w:topLinePunct w:val="0"/>
        <w:autoSpaceDE/>
        <w:autoSpaceDN/>
        <w:bidi w:val="0"/>
        <w:adjustRightInd/>
        <w:spacing w:line="578" w:lineRule="exact"/>
        <w:ind w:firstLine="640" w:firstLineChars="200"/>
        <w:jc w:val="left"/>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 xml:space="preserve">在粮食、糖料蔗等大宗农产品生产集中区域应当按照合理布局的原则，扶持建设规模化育秧（苗）场所、粮食烘干场所和高性能大型农业机械集中停放场所、区域性维修保养场所等农业机械化基础设施。 </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left="0" w:leftChars="0" w:firstLine="0" w:firstLineChars="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第七章</w:t>
      </w:r>
      <w:r>
        <w:rPr>
          <w:rFonts w:hint="eastAsia" w:ascii="黑体" w:hAnsi="黑体" w:eastAsia="黑体" w:cs="黑体"/>
          <w:b w:val="0"/>
          <w:bCs/>
          <w:color w:val="000000"/>
          <w:sz w:val="32"/>
          <w:szCs w:val="32"/>
          <w:lang w:eastAsia="zh-CN"/>
        </w:rPr>
        <w:t>　</w:t>
      </w:r>
      <w:r>
        <w:rPr>
          <w:rFonts w:hint="eastAsia" w:ascii="黑体" w:hAnsi="黑体" w:eastAsia="黑体" w:cs="黑体"/>
          <w:b w:val="0"/>
          <w:bCs/>
          <w:color w:val="000000"/>
          <w:sz w:val="32"/>
          <w:szCs w:val="32"/>
        </w:rPr>
        <w:t>法律责任</w:t>
      </w:r>
    </w:p>
    <w:p>
      <w:pPr>
        <w:pStyle w:val="8"/>
        <w:keepNext w:val="0"/>
        <w:keepLines w:val="0"/>
        <w:pageBreakBefore w:val="0"/>
        <w:kinsoku/>
        <w:wordWrap/>
        <w:overflowPunct/>
        <w:topLinePunct w:val="0"/>
        <w:autoSpaceDE/>
        <w:autoSpaceDN/>
        <w:bidi w:val="0"/>
        <w:adjustRightInd/>
        <w:spacing w:line="578" w:lineRule="exact"/>
        <w:textAlignment w:val="auto"/>
        <w:outlineLvl w:val="9"/>
        <w:rPr>
          <w:rFonts w:hint="eastAsia" w:ascii="仿宋_GB2312" w:eastAsia="仿宋_GB2312"/>
          <w:b/>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第三十一条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违反本条例规定的行为，法律、行政法规已有法律责任规定的，从其规定。</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第三十二条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违反本条例第十五条规定，未取得培训许可从事拖拉机驾驶培训业务的，由县级以上人民政府农业机械化主管部门责令停止违法行为，有违法所得的，处违法所得一倍以上三倍以下罚款；无违法所得的，处一千元以上一万元以下罚款。</w:t>
      </w:r>
    </w:p>
    <w:p>
      <w:pPr>
        <w:pStyle w:val="8"/>
        <w:keepNext w:val="0"/>
        <w:keepLines w:val="0"/>
        <w:pageBreakBefore w:val="0"/>
        <w:kinsoku/>
        <w:wordWrap/>
        <w:overflowPunct/>
        <w:topLinePunct w:val="0"/>
        <w:autoSpaceDE/>
        <w:autoSpaceDN/>
        <w:bidi w:val="0"/>
        <w:adjustRightInd/>
        <w:spacing w:line="578" w:lineRule="exact"/>
        <w:ind w:firstLine="643" w:firstLineChars="200"/>
        <w:jc w:val="left"/>
        <w:textAlignment w:val="auto"/>
        <w:outlineLvl w:val="9"/>
        <w:rPr>
          <w:rFonts w:hint="eastAsia" w:ascii="仿宋_GB2312" w:hAnsi="宋体" w:eastAsia="仿宋_GB2312" w:cs="宋体"/>
          <w:color w:val="000000"/>
          <w:sz w:val="32"/>
          <w:szCs w:val="32"/>
        </w:rPr>
      </w:pPr>
      <w:r>
        <w:rPr>
          <w:rFonts w:hint="eastAsia" w:ascii="黑体" w:hAnsi="黑体" w:eastAsia="黑体" w:cs="黑体"/>
          <w:b w:val="0"/>
          <w:bCs/>
          <w:color w:val="000000"/>
          <w:sz w:val="32"/>
          <w:szCs w:val="32"/>
        </w:rPr>
        <w:t>第三十三条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违反本条例规定，有下列行为之一的，对直接负责的主管人员或者其他直接责任人员，由有关机关依法给予行政处分；构成犯罪的，依法追究刑事责任：</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（一）公益性农业机械化技术推广机构向农民或者其他从事农业生产经营的组织和个人收取或者变相收取农业机械化技术推广、培训服务费用的；</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（二）农业机械化主管部门在开展质量调查和质量投诉处理中收取或者变相收取费用的；</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（三）农业机械化主管部门或者其他有关部门工作人员挤占、</w:t>
      </w:r>
      <w:r>
        <w:rPr>
          <w:rFonts w:hint="eastAsia" w:ascii="仿宋_GB2312" w:hAnsi="宋体" w:eastAsia="仿宋_GB2312" w:cs="宋体"/>
          <w:color w:val="000000"/>
          <w:sz w:val="32"/>
          <w:szCs w:val="32"/>
        </w:rPr>
        <w:t>截留、挪用补贴资金，或者超越规定的对象、标准和种类发放补贴资金</w:t>
      </w:r>
      <w:r>
        <w:rPr>
          <w:rFonts w:hint="eastAsia" w:ascii="仿宋_GB2312" w:eastAsia="仿宋_GB2312"/>
          <w:color w:val="000000"/>
          <w:sz w:val="32"/>
          <w:szCs w:val="32"/>
        </w:rPr>
        <w:t>的</w:t>
      </w:r>
      <w:r>
        <w:rPr>
          <w:rFonts w:hint="eastAsia" w:ascii="仿宋_GB2312" w:hAnsi="宋体" w:eastAsia="仿宋_GB2312" w:cs="宋体"/>
          <w:color w:val="000000"/>
          <w:sz w:val="32"/>
          <w:szCs w:val="32"/>
        </w:rPr>
        <w:t>；</w:t>
      </w:r>
    </w:p>
    <w:p>
      <w:pPr>
        <w:pStyle w:val="8"/>
        <w:keepNext w:val="0"/>
        <w:keepLines w:val="0"/>
        <w:pageBreakBefore w:val="0"/>
        <w:kinsoku/>
        <w:wordWrap/>
        <w:overflowPunct/>
        <w:topLinePunct w:val="0"/>
        <w:autoSpaceDE/>
        <w:autoSpaceDN/>
        <w:bidi w:val="0"/>
        <w:adjustRightInd/>
        <w:spacing w:line="578" w:lineRule="exact"/>
        <w:ind w:firstLine="480" w:firstLineChars="150"/>
        <w:jc w:val="left"/>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（四）农业机械化主管部门工作人员有其他滥用职权、徇私舞弊、玩忽职守行为的。</w:t>
      </w:r>
      <w:r>
        <w:rPr>
          <w:rFonts w:hint="eastAsia" w:ascii="仿宋_GB2312" w:eastAsia="仿宋_GB2312"/>
          <w:color w:val="000000"/>
          <w:sz w:val="32"/>
          <w:szCs w:val="32"/>
        </w:rPr>
        <w:br w:type="textWrapping"/>
      </w:r>
      <w:r>
        <w:rPr>
          <w:rFonts w:hint="eastAsia" w:ascii="仿宋_GB2312" w:eastAsia="仿宋_GB2312"/>
          <w:color w:val="000000"/>
          <w:sz w:val="32"/>
          <w:szCs w:val="32"/>
        </w:rPr>
        <w:t xml:space="preserve">    有前款第一项、第二项行为的，有关部门或者机构应当退回所收取的费用。</w:t>
      </w:r>
    </w:p>
    <w:p>
      <w:pPr>
        <w:pStyle w:val="8"/>
        <w:keepNext w:val="0"/>
        <w:keepLines w:val="0"/>
        <w:pageBreakBefore w:val="0"/>
        <w:kinsoku/>
        <w:wordWrap/>
        <w:overflowPunct/>
        <w:topLinePunct w:val="0"/>
        <w:autoSpaceDE/>
        <w:autoSpaceDN/>
        <w:bidi w:val="0"/>
        <w:adjustRightInd/>
        <w:spacing w:line="578" w:lineRule="exact"/>
        <w:ind w:firstLine="640" w:firstLineChars="200"/>
        <w:jc w:val="left"/>
        <w:textAlignment w:val="auto"/>
        <w:outlineLvl w:val="9"/>
        <w:rPr>
          <w:rFonts w:hint="eastAsia" w:ascii="仿宋_GB2312" w:eastAsia="仿宋_GB2312"/>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left="0" w:leftChars="0" w:firstLine="0" w:firstLineChars="0"/>
        <w:jc w:val="center"/>
        <w:textAlignment w:val="auto"/>
        <w:outlineLvl w:val="9"/>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第八章</w:t>
      </w:r>
      <w:r>
        <w:rPr>
          <w:rFonts w:hint="eastAsia" w:ascii="黑体" w:hAnsi="黑体" w:eastAsia="黑体" w:cs="黑体"/>
          <w:b w:val="0"/>
          <w:bCs/>
          <w:color w:val="000000"/>
          <w:sz w:val="32"/>
          <w:szCs w:val="32"/>
          <w:lang w:eastAsia="zh-CN"/>
        </w:rPr>
        <w:t>　</w:t>
      </w:r>
      <w:r>
        <w:rPr>
          <w:rFonts w:hint="eastAsia" w:ascii="黑体" w:hAnsi="黑体" w:eastAsia="黑体" w:cs="黑体"/>
          <w:b w:val="0"/>
          <w:bCs/>
          <w:color w:val="000000"/>
          <w:sz w:val="32"/>
          <w:szCs w:val="32"/>
        </w:rPr>
        <w:t>附则</w:t>
      </w:r>
    </w:p>
    <w:p>
      <w:pPr>
        <w:pStyle w:val="8"/>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ascii="仿宋_GB2312" w:eastAsia="仿宋_GB2312"/>
          <w:b/>
          <w:color w:val="000000"/>
          <w:sz w:val="32"/>
          <w:szCs w:val="32"/>
        </w:rPr>
      </w:pPr>
    </w:p>
    <w:p>
      <w:pPr>
        <w:pStyle w:val="8"/>
        <w:keepNext w:val="0"/>
        <w:keepLines w:val="0"/>
        <w:pageBreakBefore w:val="0"/>
        <w:kinsoku/>
        <w:wordWrap/>
        <w:overflowPunct/>
        <w:topLinePunct w:val="0"/>
        <w:autoSpaceDE/>
        <w:autoSpaceDN/>
        <w:bidi w:val="0"/>
        <w:adjustRightInd/>
        <w:spacing w:line="578" w:lineRule="exact"/>
        <w:ind w:firstLine="643" w:firstLineChars="200"/>
        <w:textAlignment w:val="auto"/>
        <w:outlineLvl w:val="9"/>
        <w:rPr>
          <w:rFonts w:hint="eastAsia" w:ascii="仿宋_GB2312" w:eastAsia="仿宋_GB2312"/>
          <w:color w:val="000000"/>
          <w:sz w:val="32"/>
          <w:szCs w:val="32"/>
        </w:rPr>
      </w:pPr>
      <w:r>
        <w:rPr>
          <w:rFonts w:hint="eastAsia" w:ascii="黑体" w:hAnsi="黑体" w:eastAsia="黑体" w:cs="黑体"/>
          <w:b w:val="0"/>
          <w:bCs/>
          <w:color w:val="000000"/>
          <w:sz w:val="32"/>
          <w:szCs w:val="32"/>
        </w:rPr>
        <w:t>第三十四条</w:t>
      </w:r>
      <w:r>
        <w:rPr>
          <w:rFonts w:hint="eastAsia" w:ascii="黑体" w:hAnsi="黑体" w:eastAsia="黑体" w:cs="黑体"/>
          <w:b w:val="0"/>
          <w:bCs/>
          <w:color w:val="000000"/>
          <w:sz w:val="32"/>
          <w:szCs w:val="32"/>
          <w:lang w:eastAsia="zh-CN"/>
        </w:rPr>
        <w:t>　</w:t>
      </w:r>
      <w:r>
        <w:rPr>
          <w:rFonts w:hint="eastAsia" w:ascii="仿宋_GB2312" w:eastAsia="仿宋_GB2312"/>
          <w:color w:val="000000"/>
          <w:sz w:val="32"/>
          <w:szCs w:val="32"/>
        </w:rPr>
        <w:t>本条例自</w:t>
      </w:r>
      <w:r>
        <w:rPr>
          <w:rFonts w:hint="eastAsia" w:ascii="仿宋_GB2312" w:hAnsi="黑体" w:eastAsia="仿宋_GB2312"/>
          <w:color w:val="000000"/>
          <w:sz w:val="32"/>
          <w:szCs w:val="32"/>
        </w:rPr>
        <w:t>2017</w:t>
      </w:r>
      <w:r>
        <w:rPr>
          <w:rFonts w:hint="eastAsia" w:ascii="仿宋_GB2312" w:eastAsia="仿宋_GB2312"/>
          <w:color w:val="000000"/>
          <w:sz w:val="32"/>
          <w:szCs w:val="32"/>
        </w:rPr>
        <w:t>年</w:t>
      </w:r>
      <w:r>
        <w:rPr>
          <w:rFonts w:hint="eastAsia" w:ascii="仿宋_GB2312" w:hAnsi="黑体" w:eastAsia="仿宋_GB2312"/>
          <w:color w:val="000000"/>
          <w:sz w:val="32"/>
          <w:szCs w:val="32"/>
        </w:rPr>
        <w:t>6</w:t>
      </w:r>
      <w:r>
        <w:rPr>
          <w:rFonts w:hint="eastAsia" w:ascii="仿宋_GB2312" w:eastAsia="仿宋_GB2312"/>
          <w:color w:val="000000"/>
          <w:sz w:val="32"/>
          <w:szCs w:val="32"/>
        </w:rPr>
        <w:t>月</w:t>
      </w:r>
      <w:r>
        <w:rPr>
          <w:rFonts w:hint="eastAsia" w:ascii="仿宋_GB2312" w:hAnsi="黑体" w:eastAsia="仿宋_GB2312"/>
          <w:color w:val="000000"/>
          <w:sz w:val="32"/>
          <w:szCs w:val="32"/>
        </w:rPr>
        <w:t>1</w:t>
      </w:r>
      <w:r>
        <w:rPr>
          <w:rFonts w:hint="eastAsia" w:ascii="仿宋_GB2312" w:eastAsia="仿宋_GB2312"/>
          <w:color w:val="000000"/>
          <w:sz w:val="32"/>
          <w:szCs w:val="32"/>
        </w:rPr>
        <w:t>日起施行。1996年8月6日广西壮族自治区第八届人民代表大会常务委员会第二十三次会议通过的《广西壮族自治区农业机械管理条例》同时废止。</w:t>
      </w:r>
    </w:p>
    <w:p>
      <w:pPr>
        <w:keepNext w:val="0"/>
        <w:keepLines w:val="0"/>
        <w:pageBreakBefore w:val="0"/>
        <w:kinsoku/>
        <w:wordWrap/>
        <w:overflowPunct/>
        <w:topLinePunct w:val="0"/>
        <w:autoSpaceDE/>
        <w:autoSpaceDN/>
        <w:bidi w:val="0"/>
        <w:adjustRightInd/>
        <w:spacing w:line="578" w:lineRule="exact"/>
        <w:textAlignment w:val="auto"/>
        <w:outlineLvl w:val="9"/>
        <w:rPr>
          <w:rFonts w:hint="eastAsia"/>
          <w:szCs w:val="32"/>
        </w:rPr>
      </w:pPr>
    </w:p>
    <w:p>
      <w:pPr>
        <w:keepNext w:val="0"/>
        <w:keepLines w:val="0"/>
        <w:pageBreakBefore w:val="0"/>
        <w:kinsoku/>
        <w:wordWrap/>
        <w:overflowPunct/>
        <w:topLinePunct w:val="0"/>
        <w:autoSpaceDE/>
        <w:autoSpaceDN/>
        <w:bidi w:val="0"/>
        <w:adjustRightInd/>
        <w:spacing w:line="578" w:lineRule="exact"/>
        <w:jc w:val="center"/>
        <w:textAlignment w:val="auto"/>
        <w:outlineLvl w:val="9"/>
        <w:rPr>
          <w:rFonts w:hint="eastAsia"/>
        </w:rPr>
      </w:pPr>
    </w:p>
    <w:sectPr>
      <w:headerReference r:id="rId3" w:type="default"/>
      <w:footerReference r:id="rId4" w:type="default"/>
      <w:footerReference r:id="rId5" w:type="even"/>
      <w:pgSz w:w="11906" w:h="16838"/>
      <w:pgMar w:top="2041" w:right="1474" w:bottom="2041" w:left="1474" w:header="851" w:footer="1644" w:gutter="0"/>
      <w:paperSrc/>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Style w:val="6"/>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Style w:val="6"/>
                              <w:rFonts w:hint="eastAsia" w:asciiTheme="majorEastAsia" w:hAnsiTheme="majorEastAsia" w:eastAsiaTheme="majorEastAsia" w:cstheme="majorEastAsia"/>
                              <w:sz w:val="28"/>
                              <w:szCs w:val="28"/>
                            </w:rPr>
                            <w:instrText xml:space="preserve">PAGE  </w:instrText>
                          </w:r>
                          <w:r>
                            <w:rPr>
                              <w:rFonts w:hint="eastAsia" w:asciiTheme="majorEastAsia" w:hAnsiTheme="majorEastAsia" w:eastAsiaTheme="majorEastAsia" w:cstheme="majorEastAsia"/>
                              <w:sz w:val="28"/>
                              <w:szCs w:val="28"/>
                            </w:rPr>
                            <w:fldChar w:fldCharType="separate"/>
                          </w:r>
                          <w:r>
                            <w:rPr>
                              <w:rStyle w:val="6"/>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Style w:val="6"/>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Style w:val="6"/>
                        <w:rFonts w:hint="eastAsia" w:asciiTheme="majorEastAsia" w:hAnsiTheme="majorEastAsia" w:eastAsiaTheme="majorEastAsia" w:cstheme="majorEastAsia"/>
                        <w:sz w:val="28"/>
                        <w:szCs w:val="28"/>
                      </w:rPr>
                      <w:instrText xml:space="preserve">PAGE  </w:instrText>
                    </w:r>
                    <w:r>
                      <w:rPr>
                        <w:rFonts w:hint="eastAsia" w:asciiTheme="majorEastAsia" w:hAnsiTheme="majorEastAsia" w:eastAsiaTheme="majorEastAsia" w:cstheme="majorEastAsia"/>
                        <w:sz w:val="28"/>
                        <w:szCs w:val="28"/>
                      </w:rPr>
                      <w:fldChar w:fldCharType="separate"/>
                    </w:r>
                    <w:r>
                      <w:rPr>
                        <w:rStyle w:val="6"/>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47A"/>
    <w:rsid w:val="00003549"/>
    <w:rsid w:val="00007F4B"/>
    <w:rsid w:val="00014EC7"/>
    <w:rsid w:val="00020398"/>
    <w:rsid w:val="00020954"/>
    <w:rsid w:val="00022A0E"/>
    <w:rsid w:val="00027AA9"/>
    <w:rsid w:val="00061D3F"/>
    <w:rsid w:val="0009547A"/>
    <w:rsid w:val="00095880"/>
    <w:rsid w:val="00096FC6"/>
    <w:rsid w:val="00097DC2"/>
    <w:rsid w:val="000A399C"/>
    <w:rsid w:val="000B7191"/>
    <w:rsid w:val="000C73B5"/>
    <w:rsid w:val="0010274C"/>
    <w:rsid w:val="00111C3C"/>
    <w:rsid w:val="00123C8E"/>
    <w:rsid w:val="001256C2"/>
    <w:rsid w:val="00141691"/>
    <w:rsid w:val="00196F5F"/>
    <w:rsid w:val="001B5EC4"/>
    <w:rsid w:val="001C139A"/>
    <w:rsid w:val="001C4869"/>
    <w:rsid w:val="001E5775"/>
    <w:rsid w:val="001F38B7"/>
    <w:rsid w:val="00213BCF"/>
    <w:rsid w:val="00240DC7"/>
    <w:rsid w:val="00254843"/>
    <w:rsid w:val="00284329"/>
    <w:rsid w:val="0029059E"/>
    <w:rsid w:val="0029165A"/>
    <w:rsid w:val="0029294B"/>
    <w:rsid w:val="00293387"/>
    <w:rsid w:val="002A3C3C"/>
    <w:rsid w:val="002B413F"/>
    <w:rsid w:val="002C1FD6"/>
    <w:rsid w:val="002D2EF0"/>
    <w:rsid w:val="002D4919"/>
    <w:rsid w:val="002D4D83"/>
    <w:rsid w:val="003159B7"/>
    <w:rsid w:val="00315EB0"/>
    <w:rsid w:val="00342F2C"/>
    <w:rsid w:val="00345CCF"/>
    <w:rsid w:val="0035563E"/>
    <w:rsid w:val="00367FA7"/>
    <w:rsid w:val="00376B38"/>
    <w:rsid w:val="00384A2D"/>
    <w:rsid w:val="00386C40"/>
    <w:rsid w:val="003A2699"/>
    <w:rsid w:val="003A45A0"/>
    <w:rsid w:val="003A643A"/>
    <w:rsid w:val="003A7AB8"/>
    <w:rsid w:val="003C114F"/>
    <w:rsid w:val="003C2012"/>
    <w:rsid w:val="003D6403"/>
    <w:rsid w:val="004010CD"/>
    <w:rsid w:val="00410B9B"/>
    <w:rsid w:val="00410E98"/>
    <w:rsid w:val="00415A64"/>
    <w:rsid w:val="00435F20"/>
    <w:rsid w:val="00460AA9"/>
    <w:rsid w:val="00465E46"/>
    <w:rsid w:val="0047340C"/>
    <w:rsid w:val="00481380"/>
    <w:rsid w:val="00493B26"/>
    <w:rsid w:val="004C2442"/>
    <w:rsid w:val="004C3CE2"/>
    <w:rsid w:val="004C5169"/>
    <w:rsid w:val="004E453D"/>
    <w:rsid w:val="004E585C"/>
    <w:rsid w:val="004E5C15"/>
    <w:rsid w:val="004F0BFB"/>
    <w:rsid w:val="004F34A7"/>
    <w:rsid w:val="005307AA"/>
    <w:rsid w:val="00531078"/>
    <w:rsid w:val="00533246"/>
    <w:rsid w:val="00564C0E"/>
    <w:rsid w:val="005A23F8"/>
    <w:rsid w:val="005B1629"/>
    <w:rsid w:val="005D2E93"/>
    <w:rsid w:val="005F1444"/>
    <w:rsid w:val="005F4139"/>
    <w:rsid w:val="005F4EAD"/>
    <w:rsid w:val="00623CF4"/>
    <w:rsid w:val="0064239E"/>
    <w:rsid w:val="00647D38"/>
    <w:rsid w:val="0065552F"/>
    <w:rsid w:val="006570FA"/>
    <w:rsid w:val="00661654"/>
    <w:rsid w:val="006626BC"/>
    <w:rsid w:val="0067505C"/>
    <w:rsid w:val="00697519"/>
    <w:rsid w:val="006A09BF"/>
    <w:rsid w:val="006A2307"/>
    <w:rsid w:val="006A3869"/>
    <w:rsid w:val="006C7E66"/>
    <w:rsid w:val="006D5C9A"/>
    <w:rsid w:val="006E1C0C"/>
    <w:rsid w:val="006E3BB9"/>
    <w:rsid w:val="006F2AB4"/>
    <w:rsid w:val="006F4898"/>
    <w:rsid w:val="00712BC9"/>
    <w:rsid w:val="00721868"/>
    <w:rsid w:val="00723E10"/>
    <w:rsid w:val="00754B08"/>
    <w:rsid w:val="007753BF"/>
    <w:rsid w:val="0078036C"/>
    <w:rsid w:val="007907EB"/>
    <w:rsid w:val="007927C1"/>
    <w:rsid w:val="007A324B"/>
    <w:rsid w:val="007A54C1"/>
    <w:rsid w:val="007A7C7E"/>
    <w:rsid w:val="007B122C"/>
    <w:rsid w:val="007C0D6D"/>
    <w:rsid w:val="008056C2"/>
    <w:rsid w:val="0081024C"/>
    <w:rsid w:val="008342BB"/>
    <w:rsid w:val="008355BE"/>
    <w:rsid w:val="00861C69"/>
    <w:rsid w:val="008721A5"/>
    <w:rsid w:val="0087256C"/>
    <w:rsid w:val="00884031"/>
    <w:rsid w:val="00891BD1"/>
    <w:rsid w:val="00892EC0"/>
    <w:rsid w:val="008B2B6E"/>
    <w:rsid w:val="008B39AB"/>
    <w:rsid w:val="008D020F"/>
    <w:rsid w:val="008E6301"/>
    <w:rsid w:val="008F28EF"/>
    <w:rsid w:val="0091300A"/>
    <w:rsid w:val="00936D0A"/>
    <w:rsid w:val="00953B81"/>
    <w:rsid w:val="00966118"/>
    <w:rsid w:val="0099235F"/>
    <w:rsid w:val="0099617C"/>
    <w:rsid w:val="009A3103"/>
    <w:rsid w:val="009B0618"/>
    <w:rsid w:val="009C3B48"/>
    <w:rsid w:val="009C5A28"/>
    <w:rsid w:val="009D7398"/>
    <w:rsid w:val="009E1177"/>
    <w:rsid w:val="00A0035C"/>
    <w:rsid w:val="00A02C8B"/>
    <w:rsid w:val="00A034AB"/>
    <w:rsid w:val="00A40EAF"/>
    <w:rsid w:val="00A43848"/>
    <w:rsid w:val="00A44950"/>
    <w:rsid w:val="00A56265"/>
    <w:rsid w:val="00A717DB"/>
    <w:rsid w:val="00A74BF2"/>
    <w:rsid w:val="00A842B3"/>
    <w:rsid w:val="00AA149E"/>
    <w:rsid w:val="00AC1A56"/>
    <w:rsid w:val="00AD3B8B"/>
    <w:rsid w:val="00AD6776"/>
    <w:rsid w:val="00AD771C"/>
    <w:rsid w:val="00AF1683"/>
    <w:rsid w:val="00B2237E"/>
    <w:rsid w:val="00B52D56"/>
    <w:rsid w:val="00B53469"/>
    <w:rsid w:val="00B6031D"/>
    <w:rsid w:val="00B64CE3"/>
    <w:rsid w:val="00B75E9E"/>
    <w:rsid w:val="00B84529"/>
    <w:rsid w:val="00B90068"/>
    <w:rsid w:val="00B96CA3"/>
    <w:rsid w:val="00BA182E"/>
    <w:rsid w:val="00BB6067"/>
    <w:rsid w:val="00BB77A4"/>
    <w:rsid w:val="00BD3FAC"/>
    <w:rsid w:val="00BD4246"/>
    <w:rsid w:val="00C00E01"/>
    <w:rsid w:val="00C07661"/>
    <w:rsid w:val="00C12117"/>
    <w:rsid w:val="00C16E31"/>
    <w:rsid w:val="00C30E8F"/>
    <w:rsid w:val="00C4077F"/>
    <w:rsid w:val="00C43A19"/>
    <w:rsid w:val="00C450F8"/>
    <w:rsid w:val="00C51670"/>
    <w:rsid w:val="00C52644"/>
    <w:rsid w:val="00C73598"/>
    <w:rsid w:val="00C75F72"/>
    <w:rsid w:val="00C85CAC"/>
    <w:rsid w:val="00CB5C4B"/>
    <w:rsid w:val="00CE4196"/>
    <w:rsid w:val="00CF18FF"/>
    <w:rsid w:val="00CF2621"/>
    <w:rsid w:val="00D06BD1"/>
    <w:rsid w:val="00D06FAE"/>
    <w:rsid w:val="00D25ACF"/>
    <w:rsid w:val="00D40F4A"/>
    <w:rsid w:val="00D51540"/>
    <w:rsid w:val="00D51594"/>
    <w:rsid w:val="00D606F6"/>
    <w:rsid w:val="00D607C9"/>
    <w:rsid w:val="00D67ABE"/>
    <w:rsid w:val="00D729DA"/>
    <w:rsid w:val="00D862DA"/>
    <w:rsid w:val="00D97EA1"/>
    <w:rsid w:val="00DA5120"/>
    <w:rsid w:val="00DA6BD8"/>
    <w:rsid w:val="00DB21EE"/>
    <w:rsid w:val="00DB3E97"/>
    <w:rsid w:val="00DC030A"/>
    <w:rsid w:val="00DC55A4"/>
    <w:rsid w:val="00DC6600"/>
    <w:rsid w:val="00DD4FC8"/>
    <w:rsid w:val="00DD5923"/>
    <w:rsid w:val="00DE765F"/>
    <w:rsid w:val="00DF1ED3"/>
    <w:rsid w:val="00DF5C73"/>
    <w:rsid w:val="00DF6B89"/>
    <w:rsid w:val="00E000E4"/>
    <w:rsid w:val="00E034FA"/>
    <w:rsid w:val="00E07FD6"/>
    <w:rsid w:val="00E15507"/>
    <w:rsid w:val="00E53856"/>
    <w:rsid w:val="00E7506C"/>
    <w:rsid w:val="00E97155"/>
    <w:rsid w:val="00EC7D1F"/>
    <w:rsid w:val="00ED0445"/>
    <w:rsid w:val="00F15551"/>
    <w:rsid w:val="00F27F00"/>
    <w:rsid w:val="00F45FEB"/>
    <w:rsid w:val="00F57328"/>
    <w:rsid w:val="00FA2599"/>
    <w:rsid w:val="00FA5BF6"/>
    <w:rsid w:val="00FA5BF7"/>
    <w:rsid w:val="00FA6C8B"/>
    <w:rsid w:val="00FB474A"/>
    <w:rsid w:val="00FB59FC"/>
    <w:rsid w:val="00FC1F95"/>
    <w:rsid w:val="00FC4DFA"/>
    <w:rsid w:val="14D22B44"/>
    <w:rsid w:val="669D495B"/>
    <w:rsid w:val="72934F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Style w:val="7"/>
      <w:tblLayout w:type="fixed"/>
      <w:tblCellMar>
        <w:top w:w="0" w:type="dxa"/>
        <w:left w:w="108" w:type="dxa"/>
        <w:bottom w:w="0" w:type="dxa"/>
        <w:right w:w="108" w:type="dxa"/>
      </w:tblCellMar>
    </w:tblPr>
    <w:tcPr>
      <w:textDirection w:val="lrTb"/>
    </w:tcPr>
  </w:style>
  <w:style w:type="paragraph" w:styleId="2">
    <w:name w:val="Body Text"/>
    <w:basedOn w:val="1"/>
    <w:uiPriority w:val="0"/>
    <w:pPr>
      <w:spacing w:line="500" w:lineRule="exact"/>
    </w:pPr>
    <w:rPr>
      <w:rFonts w:hAnsi="宋体"/>
      <w:b/>
      <w:color w:val="000000"/>
      <w:sz w:val="28"/>
      <w:szCs w:val="2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paragraph" w:customStyle="1" w:styleId="8">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735</Words>
  <Characters>4191</Characters>
  <Lines>34</Lines>
  <Paragraphs>9</Paragraphs>
  <ScaleCrop>false</ScaleCrop>
  <LinksUpToDate>false</LinksUpToDate>
  <CharactersWithSpaces>4917</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2016-09-27T05:11:00Z</dcterms:created>
  <dc:creator>hp</dc:creator>
  <cp:lastModifiedBy>yhgx7</cp:lastModifiedBy>
  <cp:lastPrinted>2016-09-27T05:19:00Z</cp:lastPrinted>
  <dcterms:modified xsi:type="dcterms:W3CDTF">2017-04-27T10:53:18Z</dcterms:modified>
  <dc:title>注：黑体字表示增加的内容，加框表示删除的内容，加框并加黑底表示需移动的内容，斜体字加下划线表示移动过来的内容</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